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الشريف
</w:t>
      </w:r>
    </w:p>
    <w:p>
      <w:pPr>
        <w:jc w:val="start"/>
        <w:bidi/>
      </w:pPr>
      <w:r>
        <w:rPr>
          <w:rFonts w:ascii="arial" w:hAnsi="arial" w:eastAsia="arial" w:cs="arial"/>
          <w:sz w:val="28"/>
          <w:szCs w:val="28"/>
          <w:b w:val="1"/>
          <w:bCs w:val="1"/>
          <w:rtl/>
        </w:rPr>
        <w:t xml:space="preserve">علي الشريف
</w:t>
      </w:r>
    </w:p>
    <w:p>
      <w:pPr/>
      <w:r>
        <w:rPr/>
        <w:t xml:space="preserve">علي الشريف  علي بن حسن بن محمد بن حسن بن قاسم الحسني الفاطمي العلوي، المعروف بالشريف: جد الملوك السجلماسيين العلويين في المغرب الاقصى. وجده الحسن بن قاسم أول من دخل المغرب منهم قادما من ينبع النخل، من أرض الحجاز. نشأ على بسجلماسة صالحا كثير الصدقات، مجاهدا، وأقام مدة طويلة بفاس، ودخل عدوة الاندلس للجهاد مرارا، ودعى إلى الملك فزهد به. وتوفي بسجلماسة. </w:t>
      </w:r>
    </w:p>
    <w:p>
      <w:pPr>
        <w:jc w:val="start"/>
        <w:bidi/>
      </w:pPr>
      <w:r>
        <w:rPr>
          <w:sz w:val="24"/>
          <w:szCs w:val="24"/>
          <w:b w:val="1"/>
          <w:bCs w:val="1"/>
          <w:rtl/>
        </w:rPr>
        <w:t xml:space="preserve">
الأعلام،(دار العلم للملايين - بيروت،2002،ط 15،ج 4،ص 274)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2026-09-30T00:57:40+03:00</dcterms:created>
  <dcterms:modified xsi:type="dcterms:W3CDTF">2026-09-30T00:57:40+03:00</dcterms:modified>
</cp:coreProperties>
</file>

<file path=docProps/custom.xml><?xml version="1.0" encoding="utf-8"?>
<Properties xmlns="http://schemas.openxmlformats.org/officeDocument/2006/custom-properties" xmlns:vt="http://schemas.openxmlformats.org/officeDocument/2006/docPropsVTypes"/>
</file>