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الداعي الصعدي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الداعي الصعدي
</w:t>
      </w:r>
    </w:p>
    <w:p>
      <w:pPr/>
      <w:r>
        <w:rPr/>
        <w:t xml:space="preserve">الداعي الصعدي علي بن أحمد ابن الإمام القاسم الحسني اليمني الصعدي: فقيه متأدب كاد يبايع بالإمامة. تعلم ببلده (صعدة) وصنف " شرح الأزهار " فحذف منه الخلاف، و " شرح البحر الزخار " ومباحث ورسائل. ولما توفي والده (1066) أقام أبيه، فتولى صعدة وبلادها وضبط البلاد الشامية. وصلح أمره حتى أوغر عليه جماعة صدر عمه، فعزله بابنه " الحسن " وثار الصعدي على الحسن وأبيه. ومات المتوكل (1087) وخلفه المهدي (أحمد بن الحسن بن القاسم) فبايعه الصعدي. وآل الأمر إلى قيام " صاحب المواهب، الناصر، محمد بن أحمد بن الحسن " فبايعه صاحب الترجمة. ثم عارضه، ودعا إلى نفسه، وتلقب بالداعي، وضرب السكة بالسمه، وخرج (1103) من صعدة قاصدا صنعاء بجيش جرار. وخطب له على منابرها.</w:t>
      </w:r>
    </w:p>
    <w:p/>
    <w:p>
      <w:pPr/>
      <w:r>
        <w:rPr/>
        <w:t xml:space="preserve">ولكنه لم يفلح في الاستقرار، فرجع إلى صعدة وأرسل الناصر من لاحقه إليها</w:t>
      </w:r>
    </w:p>
    <w:p/>
    <w:p>
      <w:pPr/>
      <w:r>
        <w:rPr/>
        <w:t xml:space="preserve">فكانت وقائع انتهت (1104) باستقرار صاحب الترجمة في بلاده واستمرار دعوته بصعدة وشماليها. وأقام فيها مشتغلا بالدرس والتدريس إلى أن توفي. وهو الذي عمر فيها جده الهادي.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2026-09-29T22:20:09+03:00</dcterms:created>
  <dcterms:modified xsi:type="dcterms:W3CDTF">2026-09-29T22:20:09+03:00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