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عطية بن الأسود
</w:t>
      </w:r>
    </w:p>
    <w:p>
      <w:pPr>
        <w:jc w:val="start"/>
        <w:bidi/>
      </w:pPr>
      <w:r>
        <w:rPr>
          <w:rFonts w:ascii="arial" w:hAnsi="arial" w:eastAsia="arial" w:cs="arial"/>
          <w:sz w:val="28"/>
          <w:szCs w:val="28"/>
          <w:b w:val="1"/>
          <w:bCs w:val="1"/>
          <w:rtl/>
        </w:rPr>
        <w:t xml:space="preserve">عطية بن الأسود
</w:t>
      </w:r>
    </w:p>
    <w:p>
      <w:pPr/>
      <w:r>
        <w:rPr/>
        <w:t xml:space="preserve">عطية بن الأسود  عطية بن الاسود اليمامي الحنفي، من بني حنيفة: من علماء الخوارج وأمرائهم. كان في ايام (نافع بن الازرق) ولما قال نافع بتكفير (العقدة) فارقه مع آخرين، وانصرف إلى (نجدة بن عامر) فبايعه. ثم انكر على نجدة انه كان يرى الجهل بالشريعة عذرا لمن خالفها، ففارقه مع ابي فديك (عبد الله بن ثور) ثم برئ من ابي فديك، فانقسم الخوارج إلى فرقتين: (فديكية) تتبع أبا فديك، و (عطوية) على مذهب عطية. ورحل عطية إلى سجستان، فكان من في بلاد سجستان وخراسان وكرمان وقهستان، من الخوارج، عطوية كلهم. </w:t>
      </w:r>
    </w:p>
    <w:p>
      <w:pPr>
        <w:jc w:val="start"/>
        <w:bidi/>
      </w:pPr>
      <w:r>
        <w:rPr>
          <w:sz w:val="24"/>
          <w:szCs w:val="24"/>
          <w:b w:val="1"/>
          <w:bCs w:val="1"/>
          <w:rtl/>
        </w:rPr>
        <w:t xml:space="preserve">
الأعلام،(دار العلم للملايين - بيروت،2002،ط 15،ج 4،ص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2026-09-29T16:54:00+03:00</dcterms:created>
  <dcterms:modified xsi:type="dcterms:W3CDTF">2026-09-29T16:54:00+03:00</dcterms:modified>
</cp:coreProperties>
</file>

<file path=docProps/custom.xml><?xml version="1.0" encoding="utf-8"?>
<Properties xmlns="http://schemas.openxmlformats.org/officeDocument/2006/custom-properties" xmlns:vt="http://schemas.openxmlformats.org/officeDocument/2006/docPropsVTypes"/>
</file>