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أذينة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أذينة
</w:t>
      </w:r>
    </w:p>
    <w:p>
      <w:pPr/>
      <w:r>
        <w:rPr/>
        <w:t xml:space="preserve">ابن أذينة  عروة بن يحيى (ولقبه أذينة) بن مالك ابن الحارث الليثي: شاعر غزل مقدم. من أهل المدينة. وهو معدود من الفقهاء والمحدثين ايضا. ولكن الشعر أغلب عليه. وهو القائل:</w:t>
      </w:r>
    </w:p>
    <w:p/>
    <w:p>
      <w:pPr>
        <w:jc w:val="center"/>
      </w:pPr>
      <w:r>
        <w:rPr>
          <w:color w:val="ff0000"/>
        </w:rPr>
        <w:t xml:space="preserve">لقد علمت وما الاسراف من خلقي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 الذي هو رزقي سوف يأتيني</w:t>
      </w:r>
    </w:p>
    <w:p/>
    <w:p>
      <w:pPr/>
      <w:r>
        <w:rPr/>
        <w:t xml:space="preserve">#أسعى اليه فيعييني تطلبهـ ، ولو قعدت اتاني لا يعنيني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2026-09-29T14:43:52+03:00</dcterms:created>
  <dcterms:modified xsi:type="dcterms:W3CDTF">2026-09-29T14:43:52+03:00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