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الحبحاب
</w:t>
      </w:r>
    </w:p>
    <w:p>
      <w:pPr>
        <w:jc w:val="start"/>
        <w:bidi/>
      </w:pPr>
      <w:r>
        <w:rPr>
          <w:rFonts w:ascii="arial" w:hAnsi="arial" w:eastAsia="arial" w:cs="arial"/>
          <w:sz w:val="28"/>
          <w:szCs w:val="28"/>
          <w:b w:val="1"/>
          <w:bCs w:val="1"/>
          <w:rtl/>
        </w:rPr>
        <w:t xml:space="preserve">ابن الحبحاب
</w:t>
      </w:r>
    </w:p>
    <w:p>
      <w:pPr/>
      <w:r>
        <w:rPr/>
        <w:t xml:space="preserve">ابن الحبحاب  عبيد الله بن الحبحاب السلولي الموصلي: امير، من الرؤساء النبلاء الخطباء. كان مولى لبني سلول، ونشأ كاتبا، وولي مصر زمنا. ونقله هشام بن عبد الملك إلى افريقية سنة 117هـ ، او قبلها، فسار اليها وضبط امورها وسير الغزاة إلى صقلية والسوس وارض السودان، واتخذ بتونس (دار صناعة) لانشاء المراكب البحرية، وأنشأ الجامع الاعظم بتونس (جامع الزيتونة) وفي ايامه انتشر مذهب الاباضية والصفرية في بربارة المغرب، فثاروا. وكان بعض عماله قد أساؤا السيرة، فاضطرب عليه امر البلاد، فاستقدمه هشام اليه وعزله سنة 123هـ. </w:t>
      </w:r>
    </w:p>
    <w:p>
      <w:pPr>
        <w:jc w:val="start"/>
        <w:bidi/>
      </w:pPr>
      <w:r>
        <w:rPr>
          <w:sz w:val="24"/>
          <w:szCs w:val="24"/>
          <w:b w:val="1"/>
          <w:bCs w:val="1"/>
          <w:rtl/>
        </w:rPr>
        <w:t xml:space="preserve">
الأعلام،(دار العلم للملايين - بيروت،2002،ط 15،ج 4،ص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2026-09-29T06:15:31+03:00</dcterms:created>
  <dcterms:modified xsi:type="dcterms:W3CDTF">2026-09-29T06:15:31+03:00</dcterms:modified>
</cp:coreProperties>
</file>

<file path=docProps/custom.xml><?xml version="1.0" encoding="utf-8"?>
<Properties xmlns="http://schemas.openxmlformats.org/officeDocument/2006/custom-properties" xmlns:vt="http://schemas.openxmlformats.org/officeDocument/2006/docPropsVTypes"/>
</file>