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عبادة
</w:t>
      </w:r>
    </w:p>
    <w:p>
      <w:pPr>
        <w:jc w:val="start"/>
        <w:bidi/>
      </w:pPr>
      <w:r>
        <w:rPr>
          <w:rFonts w:ascii="arial" w:hAnsi="arial" w:eastAsia="arial" w:cs="arial"/>
          <w:sz w:val="28"/>
          <w:szCs w:val="28"/>
          <w:b w:val="1"/>
          <w:bCs w:val="1"/>
          <w:rtl/>
        </w:rPr>
        <w:t xml:space="preserve">ابن عبادة
</w:t>
      </w:r>
    </w:p>
    <w:p>
      <w:pPr/>
      <w:r>
        <w:rPr/>
        <w:t xml:space="preserve">ابن عبادة  أحمد بن طاهر بن علي بن عيسى بن عبادة الانصاري الخزرجي، أبو العباس: فقيه مالكي، من العلماء بالحديث. من أهل دانية Denia ولى بها خطة الشورى وافتى نيفا وعشرين سنة ودعى إلى قضائها فأبى. له ’’الايماء’’ على الموطأ، ضاهى به اطراف الصحيحين لابي مسعود الدمشقي، ومجموع في ’’رجال مسلم بن الحجاج). </w:t>
      </w:r>
    </w:p>
    <w:p>
      <w:pPr>
        <w:jc w:val="start"/>
        <w:bidi/>
      </w:pPr>
      <w:r>
        <w:rPr>
          <w:sz w:val="24"/>
          <w:szCs w:val="24"/>
          <w:b w:val="1"/>
          <w:bCs w:val="1"/>
          <w:rtl/>
        </w:rPr>
        <w:t xml:space="preserve">
الأعلام،(دار العلم للملايين - بيروت،2002،ط 15،ج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طاهر بن علي بن شبرين بن علي بن عيسى النصاري
</w:t>
      </w:r>
    </w:p>
    <w:p>
      <w:pPr/>
      <w:r>
        <w:rPr/>
        <w:t xml:space="preserve">أحمد بن طاهر بن علي بن شبرين بن علي بن عيسى النصاري من أهل دانية من كبراء أصحابنا وممن عني بالحديث والرواية ورحل فيه وفهم الطريقة وأتقن الضبط واتسع في الأخذ والسماع. أخذ عن الجياني والصدفي وابن بشير وأبي محمد ابن العسال وأبي داود المقرئ وغير واحد من مشايخ الندلس، وعن أبي عبد الله المازري وأبي مروان الحمداني وغيرهما من مشايخ إفريقية، وكان علم الحديث أغلب عليه ويميل في فقهه إلى الظاهر.</w:t>
      </w:r>
    </w:p>
    <w:p/>
    <w:p>
      <w:pPr/>
      <w:r>
        <w:rPr/>
        <w:t xml:space="preserve">وله تصانبف في الحديث منها أطراف الموطأ، ورجال مسلم وغير ذلك وقلد الشوري ببلده وطلب لقضائه فامتنع وكان فاضلا خيرا صبيا، أخذ عنه الناس، لقيته ببلدنا وجالسته كثيرا وسمعت منه فوائد، توفي في نحو عشرين وخمسمائة.</w:t>
      </w:r>
    </w:p>
    <w:p>
      <w:pPr>
        <w:jc w:val="start"/>
        <w:bidi/>
      </w:pPr>
      <w:r>
        <w:rPr>
          <w:sz w:val="24"/>
          <w:szCs w:val="24"/>
          <w:b w:val="1"/>
          <w:bCs w:val="1"/>
          <w:rtl/>
        </w:rPr>
        <w:t xml:space="preserve">
الغنية / فهرست شيوخ القاضي عياض،(دار الغرب الإسلامي،1982،ط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طاهر بن عيسى، أبو العباس الأنصاري.
</w:t>
      </w:r>
    </w:p>
    <w:p>
      <w:pPr/>
      <w:r>
        <w:rPr/>
        <w:t xml:space="preserve">أحمد بن طاهر بن عيسى، أبو العباس الأنصاري. </w:t>
      </w:r>
    </w:p>
    <w:p/>
    <w:p>
      <w:pPr/>
      <w:r>
        <w:rPr/>
        <w:t xml:space="preserve">قال ابن بشكوال: حدثنا، وكانت له عناية بالحديث، ولقاء الرجال، والجمع.</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2026-09-16T21:40:22+03:00</dcterms:created>
  <dcterms:modified xsi:type="dcterms:W3CDTF">2026-09-16T21:40:22+03:00</dcterms:modified>
</cp:coreProperties>
</file>

<file path=docProps/custom.xml><?xml version="1.0" encoding="utf-8"?>
<Properties xmlns="http://schemas.openxmlformats.org/officeDocument/2006/custom-properties" xmlns:vt="http://schemas.openxmlformats.org/officeDocument/2006/docPropsVTypes"/>
</file>