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w:t>
      </w:r>
    </w:p>
    <w:p>
      <w:pPr>
        <w:jc w:val="start"/>
        <w:bidi/>
      </w:pPr>
      <w:r>
        <w:rPr>
          <w:rFonts w:ascii="arial" w:hAnsi="arial" w:eastAsia="arial" w:cs="arial"/>
          <w:sz w:val="28"/>
          <w:szCs w:val="28"/>
          <w:b w:val="1"/>
          <w:bCs w:val="1"/>
          <w:rtl/>
        </w:rPr>
        <w:t xml:space="preserve">ابن صدقة
</w:t>
      </w:r>
    </w:p>
    <w:p>
      <w:pPr/>
      <w:r>
        <w:rPr/>
        <w:t xml:space="preserve">ابن صدقة  أحمد بن صدقة: طنبوري حاذق، له غناء كثير من الارمال والاهزاج وما يشبهها من غناء الطنبوريين. كان أبوه حجازيا قدم على الرشيد وغنى له. ونشأ أحمد في الحجاز وزار الشام وطلب المتوكل العباسي فاستحسن غناءه. واتصل بعده بالمأمون واقام في بغداد إلى أن ماتت له بنية في الشام فسافر إليها. وخرج عليه بعض الأعراب فاخذوا ما معه وقتلوه. </w:t>
      </w:r>
    </w:p>
    <w:p>
      <w:pPr>
        <w:jc w:val="start"/>
        <w:bidi/>
      </w:pPr>
      <w:r>
        <w:rPr>
          <w:sz w:val="24"/>
          <w:szCs w:val="24"/>
          <w:b w:val="1"/>
          <w:bCs w:val="1"/>
          <w:rtl/>
        </w:rPr>
        <w:t xml:space="preserve">
الأعلام،(دار العلم للملايين - بيروت،2002،ط 15،ج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2026-09-16T21:39:03+03:00</dcterms:created>
  <dcterms:modified xsi:type="dcterms:W3CDTF">2026-09-16T21:39:03+03:00</dcterms:modified>
</cp:coreProperties>
</file>

<file path=docProps/custom.xml><?xml version="1.0" encoding="utf-8"?>
<Properties xmlns="http://schemas.openxmlformats.org/officeDocument/2006/custom-properties" xmlns:vt="http://schemas.openxmlformats.org/officeDocument/2006/docPropsVTypes"/>
</file>