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رفاعة
</w:t>
      </w:r>
    </w:p>
    <w:p>
      <w:pPr>
        <w:jc w:val="start"/>
        <w:bidi/>
      </w:pPr>
      <w:r>
        <w:rPr>
          <w:rFonts w:ascii="arial" w:hAnsi="arial" w:eastAsia="arial" w:cs="arial"/>
          <w:sz w:val="28"/>
          <w:szCs w:val="28"/>
          <w:b w:val="1"/>
          <w:bCs w:val="1"/>
          <w:rtl/>
        </w:rPr>
        <w:t xml:space="preserve">ابن رفاعة
</w:t>
      </w:r>
    </w:p>
    <w:p>
      <w:pPr/>
      <w:r>
        <w:rPr/>
        <w:t xml:space="preserve">ابن رفاعة  عبد الملك بن رفاعة بن خالد الفهمي: امير مصر. كان على شرطتها سنة 91هـ ، وولي امارتها سنة 96 واستمر إلى سنة 99 وعزل، فرحل إلى الشام. واعيد في اول سنة 109 فدخل مصر، وهو مريض، فلبث 15 ليلة وتوفى. كان عادلا عفيف النفس فاضلا. من كلامه: (اذا دخلت الهدية من الباب خرجت الامانة من الطاق!) ينهى الموظفين عن قبول الهدية. </w:t>
      </w:r>
    </w:p>
    <w:p>
      <w:pPr>
        <w:jc w:val="start"/>
        <w:bidi/>
      </w:pPr>
      <w:r>
        <w:rPr>
          <w:sz w:val="24"/>
          <w:szCs w:val="24"/>
          <w:b w:val="1"/>
          <w:bCs w:val="1"/>
          <w:rtl/>
        </w:rPr>
        <w:t xml:space="preserve">
الأعلام،(دار العلم للملايين - بيروت،2002،ط 15،ج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2026-07-29T01:59:29+03:00</dcterms:created>
  <dcterms:modified xsi:type="dcterms:W3CDTF">2026-07-29T01:59:29+03:00</dcterms:modified>
</cp:coreProperties>
</file>

<file path=docProps/custom.xml><?xml version="1.0" encoding="utf-8"?>
<Properties xmlns="http://schemas.openxmlformats.org/officeDocument/2006/custom-properties" xmlns:vt="http://schemas.openxmlformats.org/officeDocument/2006/docPropsVTypes"/>
</file>