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خاقان
</w:t>
      </w:r>
    </w:p>
    <w:p>
      <w:pPr>
        <w:jc w:val="start"/>
        <w:bidi/>
      </w:pPr>
      <w:r>
        <w:rPr>
          <w:rFonts w:ascii="arial" w:hAnsi="arial" w:eastAsia="arial" w:cs="arial"/>
          <w:sz w:val="28"/>
          <w:szCs w:val="28"/>
          <w:b w:val="1"/>
          <w:bCs w:val="1"/>
          <w:rtl/>
        </w:rPr>
        <w:t xml:space="preserve">ابن خاقان
</w:t>
      </w:r>
    </w:p>
    <w:p>
      <w:pPr/>
      <w:r>
        <w:rPr/>
        <w:t xml:space="preserve">ابن خاقان عبد الله بن محمد بن عبيد الله بن يحيى ابن خاقان، ابو القاسم:وزير، منبيت وزارة. كان له علم بالأدب، وجود. استوزره المقتدر العباسي سنة 312هـ ، واستمر نحو 18 شهرا، وقبض عليه المقتدر وصادر أملاكه. ثم أطلقه فاعتل ومات.</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الخاقاني
</w:t>
      </w:r>
    </w:p>
    <w:p>
      <w:pPr/>
      <w:r>
        <w:rPr/>
        <w:t xml:space="preserve">الخاقاني اسمه عبد الله بن محمد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الخاقاني
</w:t>
      </w:r>
    </w:p>
    <w:p>
      <w:pPr/>
      <w:r>
        <w:rPr/>
        <w:t xml:space="preserve">الوزير الخاقاني عبد الله بن محمد بن عبيد الله بن يحيى بن خاقان، أبو القاسم الوزير ابن أبي علي الوزير. ولي الوزارة للمقتدر بعد ابن الفرات برأي مؤنس الخادم سنة اثنتي عشرة وثلاثمائة. وكان رجلا قد مارس وجرب وتكهل. وكان حسن البلاغة والأدب مليح الخط جوادا. قبض عليه سنة ثلاث عشرة فكانت وزارته ثمانية عشرة شهرا، ووكل به في منزله، ولم يزل عليلا بالسل إلى أن توفي سنة أربع عشرة وثلاثمائة، وسيأتي ذكر جده.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خاقان
</w:t>
      </w:r>
    </w:p>
    <w:p>
      <w:pPr/>
      <w:r>
        <w:rPr/>
        <w:t xml:space="preserve">ابن خاقان الوزير الكبير، أبو القاسم عبد الله، ابن الوزير أبي علي محمد ابن الوزير أبي الحسن عبيد الله بن يحيى بن خاقان الخاقاني. من بيت وزارة.</w:t>
      </w:r>
    </w:p>
    <w:p/>
    <w:p>
      <w:pPr/>
      <w:r>
        <w:rPr/>
        <w:t xml:space="preserve">وكان ذا لسن، وبلاغة، وآداب، وحسن كتابة، وجود وإفضال، وثروة وأموال.</w:t>
      </w:r>
    </w:p>
    <w:p/>
    <w:p>
      <w:pPr/>
      <w:r>
        <w:rPr/>
        <w:t xml:space="preserve">ولي الوزارة للمقتدر في ربيع الأول، سنة اثنتي عشرة وثلاث مائة، بإشارة مؤنس الخادم، وكان سائسا ممارسا، خبيرا بالأمور، ثم قبض عليه بعد ثمانية عشر شهرا، ورسم عليه، ثم تعلل، ومات في شهر رجب، سنة أربع عشرة وثلاث مائة.</w:t>
      </w:r>
    </w:p>
    <w:p>
      <w:pPr>
        <w:jc w:val="start"/>
        <w:bidi/>
      </w:pPr>
      <w:r>
        <w:rPr>
          <w:sz w:val="24"/>
          <w:szCs w:val="24"/>
          <w:b w:val="1"/>
          <w:bCs w:val="1"/>
          <w:rtl/>
        </w:rPr>
        <w:t xml:space="preserve">
سير أعلام النبلاء،(دار الحديث- القاهرة،2006،ط 1،ج 11،ص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2026-09-28T15:59:50+03:00</dcterms:created>
  <dcterms:modified xsi:type="dcterms:W3CDTF">2026-09-28T15:59:50+03:00</dcterms:modified>
</cp:coreProperties>
</file>

<file path=docProps/custom.xml><?xml version="1.0" encoding="utf-8"?>
<Properties xmlns="http://schemas.openxmlformats.org/officeDocument/2006/custom-properties" xmlns:vt="http://schemas.openxmlformats.org/officeDocument/2006/docPropsVTypes"/>
</file>