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ثاني
</w:t>
      </w:r>
    </w:p>
    <w:p>
      <w:pPr>
        <w:jc w:val="start"/>
        <w:bidi/>
      </w:pPr>
      <w:r>
        <w:rPr>
          <w:rFonts w:ascii="arial" w:hAnsi="arial" w:eastAsia="arial" w:cs="arial"/>
          <w:sz w:val="28"/>
          <w:szCs w:val="28"/>
          <w:b w:val="1"/>
          <w:bCs w:val="1"/>
          <w:rtl/>
        </w:rPr>
        <w:t xml:space="preserve">ابن ثاني
</w:t>
      </w:r>
    </w:p>
    <w:p>
      <w:pPr/>
      <w:r>
        <w:rPr/>
        <w:t xml:space="preserve">ابن ثاني  عبد الله بن قاسم بن محمد بن ثاني، التميمي المعضادي: أمير (قطر) ولد بها. وورث إمارتها عن أبيه (انظر ترجمته) سنة 1331 هـ ، (1913م) وعمره نحو خمسين عاما. وفي أيامه اكتشف (البترول) في أراضيه. ومنح شركة Pertoleum Development Qatar Ltd. الإنكليزية امتيازا باستثماىه (في صفر 1354 هـ ، مايو 1935) ونزل عن الحكم (سنة 1368 هـ ، 1949م) إلى ابنه (علي) وعاش بقية حياته مكرما إلى أن مات في قصر له بالريان (من ديار قطر) وكان سلفي العقيدة، محبا للعلم كثير الإحسان للعلماء. أمر بطبع عدة كتب، جعلها وقفا على طلبة العلم، منها (لوائح الأنوار، شرح عقيدة السفاريني) مجلدان، و (المقنع) في الفقه الحنبلي، ومعه حاشية الشهيد سليمان بن عبد الله آل الشيخ، مجلدان، و (المقنع) لابن قدامة، و (الفروع) في الفقه الحنبلي، لابن مفلح، ومعه (تصحيح الفروع) لعلي بن سليمان المرداوي في ثلاثة مجلدات.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2026-09-28T14:54:21+03:00</dcterms:created>
  <dcterms:modified xsi:type="dcterms:W3CDTF">2026-09-28T14:54:21+03:00</dcterms:modified>
</cp:coreProperties>
</file>

<file path=docProps/custom.xml><?xml version="1.0" encoding="utf-8"?>
<Properties xmlns="http://schemas.openxmlformats.org/officeDocument/2006/custom-properties" xmlns:vt="http://schemas.openxmlformats.org/officeDocument/2006/docPropsVTypes"/>
</file>