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الهباري
</w:t>
      </w:r>
    </w:p>
    <w:p>
      <w:pPr>
        <w:jc w:val="start"/>
        <w:bidi/>
      </w:pPr>
      <w:r>
        <w:rPr>
          <w:rFonts w:ascii="arial" w:hAnsi="arial" w:eastAsia="arial" w:cs="arial"/>
          <w:sz w:val="28"/>
          <w:szCs w:val="28"/>
          <w:b w:val="1"/>
          <w:bCs w:val="1"/>
          <w:rtl/>
        </w:rPr>
        <w:t xml:space="preserve">الهباري
</w:t>
      </w:r>
    </w:p>
    <w:p>
      <w:pPr/>
      <w:r>
        <w:rPr/>
        <w:t xml:space="preserve">الهباري  عبد الله بن عمر بن عبد العزيز بن المنذر، من نسل هبار بن الاسود القرشي: ثاني الامراء اصحاب (ثغر السند) من هذه الاسرة. وكانت قاعدتهم (المنصورة). ولي بعد وفاة ابيه. وكان يخطب للخليفة العباسي. وتداول ابناؤه الامارة من بعده إلى ان غلبهم عليها محمود بن سبكتكين صاحب غزنة. </w:t>
      </w:r>
    </w:p>
    <w:p>
      <w:pPr>
        <w:jc w:val="start"/>
        <w:bidi/>
      </w:pPr>
      <w:r>
        <w:rPr>
          <w:sz w:val="24"/>
          <w:szCs w:val="24"/>
          <w:b w:val="1"/>
          <w:bCs w:val="1"/>
          <w:rtl/>
        </w:rPr>
        <w:t xml:space="preserve">
الأعلام،(دار العلم للملايين - بيروت،2002،ط 15،ج 4،ص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2026-09-28T13:48:51+03:00</dcterms:created>
  <dcterms:modified xsi:type="dcterms:W3CDTF">2026-09-28T13:48:51+03:00</dcterms:modified>
</cp:coreProperties>
</file>

<file path=docProps/custom.xml><?xml version="1.0" encoding="utf-8"?>
<Properties xmlns="http://schemas.openxmlformats.org/officeDocument/2006/custom-properties" xmlns:vt="http://schemas.openxmlformats.org/officeDocument/2006/docPropsVTypes"/>
</file>