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الدمينة
</w:t>
      </w:r>
    </w:p>
    <w:p>
      <w:pPr>
        <w:jc w:val="start"/>
        <w:bidi/>
      </w:pPr>
      <w:r>
        <w:rPr>
          <w:rFonts w:ascii="arial" w:hAnsi="arial" w:eastAsia="arial" w:cs="arial"/>
          <w:sz w:val="28"/>
          <w:szCs w:val="28"/>
          <w:b w:val="1"/>
          <w:bCs w:val="1"/>
          <w:rtl/>
        </w:rPr>
        <w:t xml:space="preserve">ابن الدمينة
</w:t>
      </w:r>
    </w:p>
    <w:p>
      <w:pPr/>
      <w:r>
        <w:rPr/>
        <w:t xml:space="preserve">ابن الدمينة  عبد الله بن عبيد الله بن احمد، من بني عامر بن تيم الله، منخثعم، ابو السري، والدمينة امه: شاعر بدوي، من ارق الناس شعرا. قل ان يرى مادحا او هاجيا. اكثر شعره الغزل والنسيب والفخر. كان العباس بن الاحنف يطرب ويترنح لشعره. واختار له ابو تمام في باب النسيب من ديوان الحماسة ستة مقاطيع. وهو من شعراء العصر الاموي. اغتاله مصعب بن عمرو السولي، وهو عائد من الحج، في تبالة (بقرب بيشة للذاهب من الطائف) او في سوق العبلاء (من ارض تبالة) له (ديوان شعر - ط) صغير. </w:t>
      </w:r>
    </w:p>
    <w:p>
      <w:pPr>
        <w:jc w:val="start"/>
        <w:bidi/>
      </w:pPr>
      <w:r>
        <w:rPr>
          <w:sz w:val="24"/>
          <w:szCs w:val="24"/>
          <w:b w:val="1"/>
          <w:bCs w:val="1"/>
          <w:rtl/>
        </w:rPr>
        <w:t xml:space="preserve">
الأعلام،(دار العلم للملايين - بيروت،2002،ط 15،ج 4،ص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2026-09-28T12:02:22+03:00</dcterms:created>
  <dcterms:modified xsi:type="dcterms:W3CDTF">2026-09-28T12:02:22+03:00</dcterms:modified>
</cp:coreProperties>
</file>

<file path=docProps/custom.xml><?xml version="1.0" encoding="utf-8"?>
<Properties xmlns="http://schemas.openxmlformats.org/officeDocument/2006/custom-properties" xmlns:vt="http://schemas.openxmlformats.org/officeDocument/2006/docPropsVTypes"/>
</file>