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هزان
</w:t>
      </w:r>
    </w:p>
    <w:p>
      <w:pPr>
        <w:jc w:val="start"/>
        <w:bidi/>
      </w:pPr>
      <w:r>
        <w:rPr>
          <w:rFonts w:ascii="arial" w:hAnsi="arial" w:eastAsia="arial" w:cs="arial"/>
          <w:sz w:val="28"/>
          <w:szCs w:val="28"/>
          <w:b w:val="1"/>
          <w:bCs w:val="1"/>
          <w:rtl/>
        </w:rPr>
        <w:t xml:space="preserve">أعشى هزان
</w:t>
      </w:r>
    </w:p>
    <w:p>
      <w:pPr/>
      <w:r>
        <w:rPr/>
        <w:t xml:space="preserve">أعشى هزان  عبد الله بن ضباب بن سفيان، أعشى بني هزان: شاعر من بني صور ابن رزاح، من هزان من أهل اليمامة من عنترة، أورد له صاحب (المكاثرة) قصيدة رائية قالها أيام نجدة، الحروري، وأبياتا قالها في (المنذر) ظئر بني سعد بن قيس بن ثعلبة. وكان لقومه خبر مع بني (العوام) أشار اليه بقوله من قصيدة:</w:t>
      </w:r>
    </w:p>
    <w:p/>
    <w:p>
      <w:pPr/>
      <w:r>
        <w:rPr/>
        <w:t xml:space="preserve">#ولولا حرام الله أن نستحلهـ ، للاقى بنو العوام يوما مذكراوفي القصيدة ذكر وقائع ومفاخر. </w:t>
      </w:r>
    </w:p>
    <w:p>
      <w:pPr>
        <w:jc w:val="start"/>
        <w:bidi/>
      </w:pPr>
      <w:r>
        <w:rPr>
          <w:sz w:val="24"/>
          <w:szCs w:val="24"/>
          <w:b w:val="1"/>
          <w:bCs w:val="1"/>
          <w:rtl/>
        </w:rPr>
        <w:t xml:space="preserve">
الأعلام،(دار العلم للملايين - بيروت،2002،ط 15،ج 4،ص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2026-07-29T02:16:59+03:00</dcterms:created>
  <dcterms:modified xsi:type="dcterms:W3CDTF">2026-07-29T02:16:59+03:00</dcterms:modified>
</cp:coreProperties>
</file>

<file path=docProps/custom.xml><?xml version="1.0" encoding="utf-8"?>
<Properties xmlns="http://schemas.openxmlformats.org/officeDocument/2006/custom-properties" xmlns:vt="http://schemas.openxmlformats.org/officeDocument/2006/docPropsVTypes"/>
</file>