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البركاتي
</w:t>
      </w:r>
    </w:p>
    <w:p>
      <w:pPr>
        <w:jc w:val="start"/>
        <w:bidi/>
      </w:pPr>
      <w:r>
        <w:rPr>
          <w:rFonts w:ascii="arial" w:hAnsi="arial" w:eastAsia="arial" w:cs="arial"/>
          <w:sz w:val="28"/>
          <w:szCs w:val="28"/>
          <w:b w:val="1"/>
          <w:bCs w:val="1"/>
          <w:rtl/>
        </w:rPr>
        <w:t xml:space="preserve">البركاتي
</w:t>
      </w:r>
    </w:p>
    <w:p>
      <w:pPr/>
      <w:r>
        <w:rPr/>
        <w:t xml:space="preserve">البركاتي  عبد الله بن حسين بن يحيى بن بركات الثاني: من اشراف مكة. وليها شهرين و 23 يوما (سنة 1184هـ) وقاتله الشريف أحمد بن سعيد، في (المنحني) فظفر احمد، وطلب عبد الله الامان وتوجه إلى وادي مر (المعروف اليوم بوادي فاطمة) ومنه إلى جدة، فمصر، فبلاد الترك، وتوفى فيها. </w:t>
      </w:r>
    </w:p>
    <w:p>
      <w:pPr>
        <w:jc w:val="start"/>
        <w:bidi/>
      </w:pPr>
      <w:r>
        <w:rPr>
          <w:sz w:val="24"/>
          <w:szCs w:val="24"/>
          <w:b w:val="1"/>
          <w:bCs w:val="1"/>
          <w:rtl/>
        </w:rPr>
        <w:t xml:space="preserve">
الأعلام،(دار العلم للملايين - بيروت،2002،ط 15،ج 4،ص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2026-07-29T09:33:51+03:00</dcterms:created>
  <dcterms:modified xsi:type="dcterms:W3CDTF">2026-07-29T09:33:51+03:00</dcterms:modified>
</cp:coreProperties>
</file>

<file path=docProps/custom.xml><?xml version="1.0" encoding="utf-8"?>
<Properties xmlns="http://schemas.openxmlformats.org/officeDocument/2006/custom-properties" xmlns:vt="http://schemas.openxmlformats.org/officeDocument/2006/docPropsVTypes"/>
</file>