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جدعان
</w:t>
      </w:r>
    </w:p>
    <w:p>
      <w:pPr>
        <w:jc w:val="start"/>
        <w:bidi/>
      </w:pPr>
      <w:r>
        <w:rPr>
          <w:rFonts w:ascii="arial" w:hAnsi="arial" w:eastAsia="arial" w:cs="arial"/>
          <w:sz w:val="28"/>
          <w:szCs w:val="28"/>
          <w:b w:val="1"/>
          <w:bCs w:val="1"/>
          <w:rtl/>
        </w:rPr>
        <w:t xml:space="preserve">ابن جدعان
</w:t>
      </w:r>
    </w:p>
    <w:p>
      <w:pPr/>
      <w:r>
        <w:rPr/>
        <w:t xml:space="preserve">ابن جدعان  عبد الله بن جدعان التيمي القرشي: احد الاجواد المشهورين في الجاهلية. ادرك النبي (ص) قبل النبوة. وكانت له جفنة يأكل منها الطعام القائم والراكب، فوقع فيها صبي، فغرق! وهو الذي خاطبه امية بن ابي الصلت بابيات اشتهر منها قوله:</w:t>
      </w:r>
    </w:p>
    <w:p/>
    <w:p>
      <w:pPr>
        <w:jc w:val="center"/>
      </w:pPr>
      <w:r>
        <w:rPr>
          <w:color w:val="ff0000"/>
        </w:rPr>
        <w:t xml:space="preserve">أأذكر حاجتي ام قد كفاني</w:t>
      </w:r>
      <w:r>
        <w:rPr>
          <w:color w:val="ff0000"/>
        </w:rPr>
        <w:t xml:space="preserve">      </w:t>
      </w:r>
      <w:r>
        <w:rPr>
          <w:color w:val="ff0000"/>
        </w:rPr>
        <w:t xml:space="preserve">حياؤك؟ ان شيمتك الحياء</w:t>
      </w:r>
    </w:p>
    <w:p/>
    <w:p>
      <w:pPr/>
      <w:r>
        <w:rPr/>
        <w:t xml:space="preserve">له اخبار كثيرة اورد الاصفهاني وغيره بعضها متفرقة. وسماه اليعقوبي بين حكام العرب في الجاهلية.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2026-09-28T06:22:43+03:00</dcterms:created>
  <dcterms:modified xsi:type="dcterms:W3CDTF">2026-09-28T06:22:43+03:00</dcterms:modified>
</cp:coreProperties>
</file>

<file path=docProps/custom.xml><?xml version="1.0" encoding="utf-8"?>
<Properties xmlns="http://schemas.openxmlformats.org/officeDocument/2006/custom-properties" xmlns:vt="http://schemas.openxmlformats.org/officeDocument/2006/docPropsVTypes"/>
</file>