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الجدميوي
</w:t>
      </w:r>
    </w:p>
    <w:p>
      <w:pPr>
        <w:jc w:val="start"/>
        <w:bidi/>
      </w:pPr>
      <w:r>
        <w:rPr>
          <w:rFonts w:ascii="arial" w:hAnsi="arial" w:eastAsia="arial" w:cs="arial"/>
          <w:sz w:val="28"/>
          <w:szCs w:val="28"/>
          <w:b w:val="1"/>
          <w:bCs w:val="1"/>
          <w:rtl/>
        </w:rPr>
        <w:t xml:space="preserve">الجدميوي
</w:t>
      </w:r>
    </w:p>
    <w:p>
      <w:pPr/>
      <w:r>
        <w:rPr/>
        <w:t xml:space="preserve">الجدميوي  عبد الله بن أبي بكر بن يحيى، أبو محمد جمال الدين الجدميوي الصودي السمكاني: فرضي زاهد من أهل جزولة في المغرب. انتهى إليه علم الفرائض في عصره ولم يشتغل بالحديث ولا سماعه، على عادة (الجزوليين) أهل بلده وإنما اعتناؤهم بالفرائض وما يتعلق بها. وكان في لسانه عجمة (جزولية) وصنف كتبا منها (نهاية الرائض في خلاصة الفرائض - خ) في خزانة تمكروت بالمغرب (الرقم 1647) بدأ بجمعه في جوار الخليل (بفلسطين) وأنجزه في الإسكندرية (سنة 696) وله (كفاية المرتاض - خ) فرائض، ومثله (مفتاح الغوامض في أصول الفرائض - خ) وهما في مجموع مع الأول. </w:t>
      </w:r>
    </w:p>
    <w:p>
      <w:pPr>
        <w:jc w:val="start"/>
        <w:bidi/>
      </w:pPr>
      <w:r>
        <w:rPr>
          <w:sz w:val="24"/>
          <w:szCs w:val="24"/>
          <w:b w:val="1"/>
          <w:bCs w:val="1"/>
          <w:rtl/>
        </w:rPr>
        <w:t xml:space="preserve">
الأعلام،(دار العلم للملايين - بيروت،2002،ط 15،ج 4،ص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2026-09-28T06:15:50+03:00</dcterms:created>
  <dcterms:modified xsi:type="dcterms:W3CDTF">2026-09-28T06:15:50+03:00</dcterms:modified>
</cp:coreProperties>
</file>

<file path=docProps/custom.xml><?xml version="1.0" encoding="utf-8"?>
<Properties xmlns="http://schemas.openxmlformats.org/officeDocument/2006/custom-properties" xmlns:vt="http://schemas.openxmlformats.org/officeDocument/2006/docPropsVTypes"/>
</file>