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الظاهر الرسولي
</w:t>
      </w:r>
    </w:p>
    <w:p>
      <w:pPr>
        <w:jc w:val="start"/>
        <w:bidi/>
      </w:pPr>
      <w:r>
        <w:rPr>
          <w:rFonts w:ascii="arial" w:hAnsi="arial" w:eastAsia="arial" w:cs="arial"/>
          <w:sz w:val="28"/>
          <w:szCs w:val="28"/>
          <w:b w:val="1"/>
          <w:bCs w:val="1"/>
          <w:rtl/>
        </w:rPr>
        <w:t xml:space="preserve">الظاهر الرسولي
</w:t>
      </w:r>
    </w:p>
    <w:p>
      <w:pPr/>
      <w:r>
        <w:rPr/>
        <w:t xml:space="preserve">الظاهر الرسولي  عبد الله بن ايوب المنصور بن يوسف المظفر، من بني رسول: امير جواد عاقل ورع. تعلقت نفسه بطلب الملك، وقصرت. وذلك ان جمعا تألب معه في ايام الملك المجاهد وحملوه على طلب الملك وخلع المجاهد، وبايعوه، ولقبوه (الظاهر) فسار بهم إلى المجاهد، و هو في تعز، فحاصره احد عشر شهرا، وعجز، فسار إلى تهامة فتبعه المجاهد. واستمرت بينهما الوقائع إلى ان تفرق من كان مع الظاهر، فاستأمن المجاهد فأمنه وحبسه بتعز، من غير تضييق عليه، إلى ان مات. </w:t>
      </w:r>
    </w:p>
    <w:p>
      <w:pPr>
        <w:jc w:val="start"/>
        <w:bidi/>
      </w:pPr>
      <w:r>
        <w:rPr>
          <w:sz w:val="24"/>
          <w:szCs w:val="24"/>
          <w:b w:val="1"/>
          <w:bCs w:val="1"/>
          <w:rtl/>
        </w:rPr>
        <w:t xml:space="preserve">
الأعلام،(دار العلم للملايين - بيروت،2002،ط 15،ج 4،ص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2026-09-28T06:25:26+03:00</dcterms:created>
  <dcterms:modified xsi:type="dcterms:W3CDTF">2026-09-28T06:25:26+03:00</dcterms:modified>
</cp:coreProperties>
</file>

<file path=docProps/custom.xml><?xml version="1.0" encoding="utf-8"?>
<Properties xmlns="http://schemas.openxmlformats.org/officeDocument/2006/custom-properties" xmlns:vt="http://schemas.openxmlformats.org/officeDocument/2006/docPropsVTypes"/>
</file>