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النشار
</w:t>
      </w:r>
    </w:p>
    <w:p>
      <w:pPr>
        <w:jc w:val="start"/>
        <w:bidi/>
      </w:pPr>
      <w:r>
        <w:rPr>
          <w:rFonts w:ascii="arial" w:hAnsi="arial" w:eastAsia="arial" w:cs="arial"/>
          <w:sz w:val="28"/>
          <w:szCs w:val="28"/>
          <w:b w:val="1"/>
          <w:bCs w:val="1"/>
          <w:rtl/>
        </w:rPr>
        <w:t xml:space="preserve">النشار
</w:t>
      </w:r>
    </w:p>
    <w:p>
      <w:pPr/>
      <w:r>
        <w:rPr/>
        <w:t xml:space="preserve">النشار  عبد اللطيف بن حمدي بن محمد علي النشار الدمياطي المصري: شاعر أديب من الكتاب. كان أبوه شاعرا وجده مدرسا في بعض المعاهد. ولد بدمياط ونشأ في الأسكندرية وعاش بها في وظيفة بالمحكمة الشرعية التي ورثها عن أبيه يضاف إليها أجر كتابته وترجماته لجريدتي وادي النيل والسفير. تثقف بنفسه وتعلم الإنكليزية وترجم عنها كثيرا. ونشر مما كتب ونظم (جنة فرعون - ط) و (نار موسى - ط) ومن ترجماته عن الإنكليزية (حوادث الإسكندرية في الثورة العرابية - ط) وقصص كثيرة من شعر طاغور الهندي وغيره. وانتقل في كهولته إلى القاهرة وتوفي بها. </w:t>
      </w:r>
    </w:p>
    <w:p>
      <w:pPr>
        <w:jc w:val="start"/>
        <w:bidi/>
      </w:pPr>
      <w:r>
        <w:rPr>
          <w:sz w:val="24"/>
          <w:szCs w:val="24"/>
          <w:b w:val="1"/>
          <w:bCs w:val="1"/>
          <w:rtl/>
        </w:rPr>
        <w:t xml:space="preserve">
الأعلام،(دار العلم للملايين - بيروت،2002،ط 15،ج 4،ص 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2026-09-28T03:10:30+03:00</dcterms:created>
  <dcterms:modified xsi:type="dcterms:W3CDTF">2026-09-28T03:10:30+03:00</dcterms:modified>
</cp:coreProperties>
</file>

<file path=docProps/custom.xml><?xml version="1.0" encoding="utf-8"?>
<Properties xmlns="http://schemas.openxmlformats.org/officeDocument/2006/custom-properties" xmlns:vt="http://schemas.openxmlformats.org/officeDocument/2006/docPropsVTypes"/>
</file>