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العمري
</w:t>
      </w:r>
    </w:p>
    <w:p>
      <w:pPr>
        <w:jc w:val="start"/>
        <w:bidi/>
      </w:pPr>
      <w:r>
        <w:rPr>
          <w:rFonts w:ascii="arial" w:hAnsi="arial" w:eastAsia="arial" w:cs="arial"/>
          <w:sz w:val="28"/>
          <w:szCs w:val="28"/>
          <w:b w:val="1"/>
          <w:bCs w:val="1"/>
          <w:rtl/>
        </w:rPr>
        <w:t xml:space="preserve">العمري
</w:t>
      </w:r>
    </w:p>
    <w:p>
      <w:pPr/>
      <w:r>
        <w:rPr/>
        <w:t xml:space="preserve">العمري  عبد الرحمن بن عبد الله العمري: قاضي مصر، في ايام هارون الرشيد. وهو اول من عمل (تابوت القضاة) في بيت المال، كان يجعل فيه اموال اليتامى ومال من لا وارث له. قدم إلى مصر، قاضيا من قبل الرشيد، سنة 185هـ ، واستمر تسع سنين وشهرين. وعزله الامين (لما ولي الخلافة) سنة 194 وفرح الناس بعزله. وسجنه القاضي الذي جاء بعده، فهرب من السجن ولم يدرك. له اخبار كثيرة. ولبعض الشعراء هجاء فيه. وكانت له معرفة بالغناء، قال الكندي: ولم تكن بمصر مسمعة الا ركب اليها يسمع غناءها، وربما قوم ما انكسر من غنائها). </w:t>
      </w:r>
    </w:p>
    <w:p>
      <w:pPr>
        <w:jc w:val="start"/>
        <w:bidi/>
      </w:pPr>
      <w:r>
        <w:rPr>
          <w:sz w:val="24"/>
          <w:szCs w:val="24"/>
          <w:b w:val="1"/>
          <w:bCs w:val="1"/>
          <w:rtl/>
        </w:rPr>
        <w:t xml:space="preserve">
الأعلام،(دار العلم للملايين - بيروت،2002،ط 15،ج 3،ص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2026-09-27T08:15:18+03:00</dcterms:created>
  <dcterms:modified xsi:type="dcterms:W3CDTF">2026-09-27T08:15:18+03:00</dcterms:modified>
</cp:coreProperties>
</file>

<file path=docProps/custom.xml><?xml version="1.0" encoding="utf-8"?>
<Properties xmlns="http://schemas.openxmlformats.org/officeDocument/2006/custom-properties" xmlns:vt="http://schemas.openxmlformats.org/officeDocument/2006/docPropsVTypes"/>
</file>