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التادلي
</w:t>
      </w:r>
    </w:p>
    <w:p>
      <w:pPr>
        <w:jc w:val="start"/>
        <w:bidi/>
      </w:pPr>
      <w:r>
        <w:rPr>
          <w:rFonts w:ascii="arial" w:hAnsi="arial" w:eastAsia="arial" w:cs="arial"/>
          <w:sz w:val="28"/>
          <w:szCs w:val="28"/>
          <w:b w:val="1"/>
          <w:bCs w:val="1"/>
          <w:rtl/>
        </w:rPr>
        <w:t xml:space="preserve">التادلي
</w:t>
      </w:r>
    </w:p>
    <w:p>
      <w:pPr/>
      <w:r>
        <w:rPr/>
        <w:t xml:space="preserve">التادلي  عبد الرحمن بن عبد العزيز المغربي التادلي المدني المالكي السماني طريقة: لغوي قدم المدينة المنورة حوالي سنة 1175 وتصوف بها على يد الشيخ محمد السمان وسافر إلى مكة ودرس بها. ثم قام برحلة إلى مصر فاليمن (1186) وعاد إلى المدينة فتزوج. واستوطن مصر. له (الوشاح وتثقيف الرماح في رد توهيم المجد للصحاح - ط). </w:t>
      </w:r>
    </w:p>
    <w:p>
      <w:pPr>
        <w:jc w:val="start"/>
        <w:bidi/>
      </w:pPr>
      <w:r>
        <w:rPr>
          <w:sz w:val="24"/>
          <w:szCs w:val="24"/>
          <w:b w:val="1"/>
          <w:bCs w:val="1"/>
          <w:rtl/>
        </w:rPr>
        <w:t xml:space="preserve">
الأعلام،(دار العلم للملايين - بيروت،2002،ط 15،ج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2026-09-27T06:51:59+03:00</dcterms:created>
  <dcterms:modified xsi:type="dcterms:W3CDTF">2026-09-27T06:51:59+03:00</dcterms:modified>
</cp:coreProperties>
</file>

<file path=docProps/custom.xml><?xml version="1.0" encoding="utf-8"?>
<Properties xmlns="http://schemas.openxmlformats.org/officeDocument/2006/custom-properties" xmlns:vt="http://schemas.openxmlformats.org/officeDocument/2006/docPropsVTypes"/>
</file>