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البياضي
</w:t>
      </w:r>
    </w:p>
    <w:p>
      <w:pPr>
        <w:jc w:val="start"/>
        <w:bidi/>
      </w:pPr>
      <w:r>
        <w:rPr>
          <w:rFonts w:ascii="arial" w:hAnsi="arial" w:eastAsia="arial" w:cs="arial"/>
          <w:sz w:val="28"/>
          <w:szCs w:val="28"/>
          <w:b w:val="1"/>
          <w:bCs w:val="1"/>
          <w:rtl/>
        </w:rPr>
        <w:t xml:space="preserve">البياضي
</w:t>
      </w:r>
    </w:p>
    <w:p>
      <w:pPr/>
      <w:r>
        <w:rPr/>
        <w:t xml:space="preserve">البياضي  أحمد بن حسن بن سنان الدين البياضي: قاض فاضل، بوسنوي الأصل. ولد في استانبول واخذ عن علمائها، وولى قضاء حلب، ثم بروسة ثم مكة فأستانبول، وتوفي في قرية قريبة منها. له تآليف بالعربية. منها (اشارات المرام من عبارات الامام) في فقه الحنفية، و (سوانح العلوم) في ستة فنون، و (الفقه الأبسط) وحواش وتعليقات. </w:t>
      </w:r>
    </w:p>
    <w:p>
      <w:pPr>
        <w:jc w:val="start"/>
        <w:bidi/>
      </w:pPr>
      <w:r>
        <w:rPr>
          <w:sz w:val="24"/>
          <w:szCs w:val="24"/>
          <w:b w:val="1"/>
          <w:bCs w:val="1"/>
          <w:rtl/>
        </w:rPr>
        <w:t xml:space="preserve">
الأعلام،(دار العلم للملايين - بيروت،2002،ط 15،ج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2026-09-16T17:23:43+03:00</dcterms:created>
  <dcterms:modified xsi:type="dcterms:W3CDTF">2026-09-16T17:23:43+03:00</dcterms:modified>
</cp:coreProperties>
</file>

<file path=docProps/custom.xml><?xml version="1.0" encoding="utf-8"?>
<Properties xmlns="http://schemas.openxmlformats.org/officeDocument/2006/custom-properties" xmlns:vt="http://schemas.openxmlformats.org/officeDocument/2006/docPropsVTypes"/>
</file>