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العراقي
</w:t>
      </w:r>
    </w:p>
    <w:p>
      <w:pPr/>
      <w:r>
        <w:rPr/>
        <w:t xml:space="preserve">ابن العراقي  عبد الحكم بن أبي اسحاق ابراهيم بن منصور: فاضل، نبيل القدر، له خطب جيدة وشعر لطيف. مولده ووفاته بمصر. وكان خطيب ’’الجامع العتيق’’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العراقي الخطيب
</w:t>
      </w:r>
    </w:p>
    <w:p>
      <w:pPr/>
      <w:r>
        <w:rPr/>
        <w:t xml:space="preserve">ابن العراقي الخطيب عبد الحكم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2026-09-27T01:35:56+03:00</dcterms:created>
  <dcterms:modified xsi:type="dcterms:W3CDTF">2026-09-27T01:35:56+03:00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