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عدي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عدي بن عمرو
</w:t>
      </w:r>
    </w:p>
    <w:p>
      <w:pPr/>
      <w:r>
        <w:rPr/>
        <w:t xml:space="preserve">أسماء بنت عدي بن عمرو تأتي في التي بعدها.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عدي بن عمرو
</w:t>
      </w:r>
    </w:p>
    <w:p>
      <w:pPr/>
      <w:r>
        <w:rPr/>
        <w:t xml:space="preserve">أسماء بنت عدي بن عمرو أم منيع الأنصارية، كانت من المبايعات بيعة العقبة.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2026-08-24T22:06:43+03:00</dcterms:created>
  <dcterms:modified xsi:type="dcterms:W3CDTF">2026-08-24T22:06:43+03:00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