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المؤيد الشهاري
</w:t>
      </w:r>
    </w:p>
    <w:p>
      <w:pPr>
        <w:jc w:val="start"/>
        <w:bidi/>
      </w:pPr>
      <w:r>
        <w:rPr>
          <w:rFonts w:ascii="arial" w:hAnsi="arial" w:eastAsia="arial" w:cs="arial"/>
          <w:sz w:val="28"/>
          <w:szCs w:val="28"/>
          <w:b w:val="1"/>
          <w:bCs w:val="1"/>
          <w:rtl/>
        </w:rPr>
        <w:t xml:space="preserve">المؤيد الشهاري
</w:t>
      </w:r>
    </w:p>
    <w:p>
      <w:pPr/>
      <w:r>
        <w:rPr/>
        <w:t xml:space="preserve">المؤيد الشهاري  العباس بن عبد الرحمن بن محمد، من ابناء المتوكل على الله اسماعيل بن القاسم الحسني الشهاري: من ائمة الزيدية في اليمن. ولي القضاء للمتوكل محمد بن يحيى في ضوران وذمار وبلاد رداع. ثم سكن صنعاء، وبويع فيها بالامامة سنة 1266هـ. ونشبت فتن، فتنحى عن الامامة بعد خمسة شهور من ولايته. وكان فقيها اديبا، له شعر. توفى بمطرح الليث من تهامة، آيبا من الحج. </w:t>
      </w:r>
    </w:p>
    <w:p>
      <w:pPr>
        <w:jc w:val="start"/>
        <w:bidi/>
      </w:pPr>
      <w:r>
        <w:rPr>
          <w:sz w:val="24"/>
          <w:szCs w:val="24"/>
          <w:b w:val="1"/>
          <w:bCs w:val="1"/>
          <w:rtl/>
        </w:rPr>
        <w:t xml:space="preserve">
الأعلام،(دار العلم للملايين - بيروت،2002،ط 15،ج 3،ص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2026-09-26T21:28:14+03:00</dcterms:created>
  <dcterms:modified xsi:type="dcterms:W3CDTF">2026-09-26T21:28:14+03:00</dcterms:modified>
</cp:coreProperties>
</file>

<file path=docProps/custom.xml><?xml version="1.0" encoding="utf-8"?>
<Properties xmlns="http://schemas.openxmlformats.org/officeDocument/2006/custom-properties" xmlns:vt="http://schemas.openxmlformats.org/officeDocument/2006/docPropsVTypes"/>
</file>