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الحلم
</w:t>
      </w:r>
    </w:p>
    <w:p>
      <w:pPr>
        <w:jc w:val="start"/>
        <w:bidi/>
      </w:pPr>
      <w:r>
        <w:rPr>
          <w:rFonts w:ascii="arial" w:hAnsi="arial" w:eastAsia="arial" w:cs="arial"/>
          <w:sz w:val="28"/>
          <w:szCs w:val="28"/>
          <w:b w:val="1"/>
          <w:bCs w:val="1"/>
          <w:rtl/>
        </w:rPr>
        <w:t xml:space="preserve">ذو الحلم
</w:t>
      </w:r>
    </w:p>
    <w:p>
      <w:pPr/>
      <w:r>
        <w:rPr/>
        <w:t xml:space="preserve">ذو الحلم  عامر بن الظرب بن عمرو بن عياذ العدواني: حكيم، خطيب، رئيس، من الجاهلين. كان امام مضر وحكمها وفارسها. وممن حرم الخمر في الجاهلية. وكانت العرب لا تعدل بفهمه فهما ولا يحكمه حكما. وهو احد المعمرين في الجاهلية، واول من قرعت له العصا، وكان يقال له ’’ذو الحلم’’ وفيه قول الشاعر:</w:t>
      </w:r>
    </w:p>
    <w:p/>
    <w:p>
      <w:pPr/>
      <w:r>
        <w:rPr/>
        <w:t xml:space="preserve">’’ان العصا قرعت لذي الحلم’’. </w:t>
      </w:r>
    </w:p>
    <w:p>
      <w:pPr>
        <w:jc w:val="start"/>
        <w:bidi/>
      </w:pPr>
      <w:r>
        <w:rPr>
          <w:sz w:val="24"/>
          <w:szCs w:val="24"/>
          <w:b w:val="1"/>
          <w:bCs w:val="1"/>
          <w:rtl/>
        </w:rPr>
        <w:t xml:space="preserve">
الأعلام،(دار العلم للملايين - بيروت،2002،ط 15،ج 3،ص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2026-09-26T19:16:48+03:00</dcterms:created>
  <dcterms:modified xsi:type="dcterms:W3CDTF">2026-09-26T19:16:48+03:00</dcterms:modified>
</cp:coreProperties>
</file>

<file path=docProps/custom.xml><?xml version="1.0" encoding="utf-8"?>
<Properties xmlns="http://schemas.openxmlformats.org/officeDocument/2006/custom-properties" xmlns:vt="http://schemas.openxmlformats.org/officeDocument/2006/docPropsVTypes"/>
</file>