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يسار بن نمير
</w:t>
      </w:r>
    </w:p>
    <w:p>
      <w:pPr>
        <w:jc w:val="start"/>
        <w:bidi/>
      </w:pPr>
      <w:r>
        <w:rPr>
          <w:rFonts w:ascii="arial" w:hAnsi="arial" w:eastAsia="arial" w:cs="arial"/>
          <w:sz w:val="28"/>
          <w:szCs w:val="28"/>
          <w:b w:val="1"/>
          <w:bCs w:val="1"/>
          <w:rtl/>
        </w:rPr>
        <w:t xml:space="preserve">يسار بن نمير
</w:t>
      </w:r>
    </w:p>
    <w:p>
      <w:pPr/>
      <w:r>
        <w:rPr/>
        <w:t xml:space="preserve">يسار بن نمير أبو ليلى، مولى بني عمرو بن عوف.</w:t>
      </w:r>
    </w:p>
    <w:p/>
    <w:p>
      <w:pPr/>
      <w:r>
        <w:rPr/>
        <w:t xml:space="preserve">ذكره ابن الفرضي في «المؤتلف». واستدركه ابن الأثير، وتبعه في التجريد، وهو أبو ليلى والد عبد الرحمن، ووهم من فرق بينهما، فقد ذكر أبو عمر الاختلاف في اسمه، ومن جملة ما قيل فيه يسر بن نمير، وهو قول البخاري، والعقيلي كما تقدم.</w:t>
      </w:r>
    </w:p>
    <w:p>
      <w:pPr>
        <w:jc w:val="start"/>
        <w:bidi/>
      </w:pPr>
      <w:r>
        <w:rPr>
          <w:sz w:val="24"/>
          <w:szCs w:val="24"/>
          <w:b w:val="1"/>
          <w:bCs w:val="1"/>
          <w:rtl/>
        </w:rPr>
        <w:t xml:space="preserve">
الإصابة في تمييز الصحابة،(دار الكتب العلمية - بيروت،1995،ط 1،ج 6،ص 566)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2026-07-28T11:55:03+03:00</dcterms:created>
  <dcterms:modified xsi:type="dcterms:W3CDTF">2026-07-28T11:55:03+03:00</dcterms:modified>
</cp:coreProperties>
</file>

<file path=docProps/custom.xml><?xml version="1.0" encoding="utf-8"?>
<Properties xmlns="http://schemas.openxmlformats.org/officeDocument/2006/custom-properties" xmlns:vt="http://schemas.openxmlformats.org/officeDocument/2006/docPropsVTypes"/>
</file>