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هند بن الصامت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هند بن الصامت
</w:t>
      </w:r>
    </w:p>
    <w:p>
      <w:pPr/>
      <w:r>
        <w:rPr/>
        <w:t xml:space="preserve">هند بن الصامت بن عبد الله بن الصامت بن سدوس الجشمي.</w:t>
      </w:r>
    </w:p>
    <w:p/>
    <w:p>
      <w:pPr/>
      <w:r>
        <w:rPr/>
        <w:t xml:space="preserve">وفد على النبي صلى الله عليه وآله وسلم، فأمره أن يعتم تحت الحنك، قال: وهي عمة جبرائيل، ذكره أبو علي الهجري في نوادره، وقال: هي العمة الجرولية. وكان هند ويكنى أبا جرول. وقال الرشاطي: لم يذكره أبو عمر ولا ابن فتحون، واستدركه ابن بشكوال.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436)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جرول
</w:t>
      </w:r>
    </w:p>
    <w:p>
      <w:pPr/>
      <w:r>
        <w:rPr/>
        <w:t xml:space="preserve">أبو جرول آخر، هو هند بن الصامت.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2026-07-28T21:57:46+03:00</dcterms:created>
  <dcterms:modified xsi:type="dcterms:W3CDTF">2026-07-28T21:57:46+03:00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