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الحارث
</w:t>
      </w:r>
    </w:p>
    <w:p>
      <w:pPr>
        <w:jc w:val="start"/>
        <w:bidi/>
      </w:pPr>
      <w:r>
        <w:rPr>
          <w:rFonts w:ascii="arial" w:hAnsi="arial" w:eastAsia="arial" w:cs="arial"/>
          <w:sz w:val="28"/>
          <w:szCs w:val="28"/>
          <w:b w:val="1"/>
          <w:bCs w:val="1"/>
          <w:rtl/>
        </w:rPr>
        <w:t xml:space="preserve">محمد بن الحارث
</w:t>
      </w:r>
    </w:p>
    <w:p>
      <w:pPr/>
      <w:r>
        <w:rPr/>
        <w:t xml:space="preserve">محمد بن الحارث بن حديج، بمهملة ثم جيم مصغرا، ابن حويص الحارثي.</w:t>
      </w:r>
    </w:p>
    <w:p/>
    <w:p>
      <w:pPr/>
      <w:r>
        <w:rPr/>
        <w:t xml:space="preserve">ذكره أبو حاتم السجستاني في «النوادر»، ونقل عن أبي عبيدة معمر بن المثنى، قال: قدم المعرم الحارثي على عمر يريد الإسلام، ومعه رجال من قومه، منهم الربيع بن زياد بن أنس بن الديان، ومحمد بن الحارث، بن حديج، وهو أحد من سمي محمدا في الجاهلية، فذكر القصة الآتي ذكرها في المعرم.</w:t>
      </w:r>
    </w:p>
    <w:p>
      <w:pPr>
        <w:jc w:val="start"/>
        <w:bidi/>
      </w:pPr>
      <w:r>
        <w:rPr>
          <w:sz w:val="24"/>
          <w:szCs w:val="24"/>
          <w:b w:val="1"/>
          <w:bCs w:val="1"/>
          <w:rtl/>
        </w:rPr>
        <w:t xml:space="preserve">
الإصابة في تمييز الصحابة،(دار الكتب العلمية - بيروت،1995،ط 1،ج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2026-07-28T19:06:41+03:00</dcterms:created>
  <dcterms:modified xsi:type="dcterms:W3CDTF">2026-07-28T19:06:41+03:00</dcterms:modified>
</cp:coreProperties>
</file>

<file path=docProps/custom.xml><?xml version="1.0" encoding="utf-8"?>
<Properties xmlns="http://schemas.openxmlformats.org/officeDocument/2006/custom-properties" xmlns:vt="http://schemas.openxmlformats.org/officeDocument/2006/docPropsVTypes"/>
</file>