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المنتجع النجدي
</w:t>
      </w:r>
    </w:p>
    <w:p>
      <w:pPr>
        <w:jc w:val="start"/>
        <w:bidi/>
      </w:pPr>
      <w:r>
        <w:rPr>
          <w:rFonts w:ascii="arial" w:hAnsi="arial" w:eastAsia="arial" w:cs="arial"/>
          <w:sz w:val="28"/>
          <w:szCs w:val="28"/>
          <w:b w:val="1"/>
          <w:bCs w:val="1"/>
          <w:rtl/>
        </w:rPr>
        <w:t xml:space="preserve">المنتجع النجدي
</w:t>
      </w:r>
    </w:p>
    <w:p>
      <w:pPr/>
      <w:r>
        <w:rPr/>
        <w:t xml:space="preserve">المنتجع النجدي ذكره أبو سعيد النقاش، واستدركه أبو موسى من طريق، وساق بسند مجهول إلى عبد الله بن هشام عن أبي حبة الرقي، عن جده المنتجع النجدي، وكان من أهل نجد، وكان له مائة وعشرون سنة، قال: قال رسول الله صلى الله عليه وآله وسلم: «أوحى الله إلى نبي من أنبياء بني إسرائيل إذا أصبحت فشمر ذيلك، فأول شيء تلقاه فكله، والثاني فادفنه..»</w:t>
      </w:r>
    </w:p>
    <w:p/>
    <w:p>
      <w:pPr/>
      <w:r>
        <w:rPr/>
        <w:t xml:space="preserve">الحديث. وأخرج أبو الشيخ في كتاب الثواب بهذا الإسناد حديثا آخر.</w:t>
      </w:r>
    </w:p>
    <w:p>
      <w:pPr>
        <w:jc w:val="start"/>
        <w:bidi/>
      </w:pPr>
      <w:r>
        <w:rPr>
          <w:sz w:val="24"/>
          <w:szCs w:val="24"/>
          <w:b w:val="1"/>
          <w:bCs w:val="1"/>
          <w:rtl/>
        </w:rPr>
        <w:t xml:space="preserve">
الإصابة في تمييز الصحابة،(دار الكتب العلمية - بيروت،1995،ط 1،ج 6،ص 167)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2026-07-29T19:21:08+03:00</dcterms:created>
  <dcterms:modified xsi:type="dcterms:W3CDTF">2026-07-29T19:21:08+03:00</dcterms:modified>
</cp:coreProperties>
</file>

<file path=docProps/custom.xml><?xml version="1.0" encoding="utf-8"?>
<Properties xmlns="http://schemas.openxmlformats.org/officeDocument/2006/custom-properties" xmlns:vt="http://schemas.openxmlformats.org/officeDocument/2006/docPropsVTypes"/>
</file>