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حميد
</w:t>
      </w:r>
    </w:p>
    <w:p>
      <w:pPr>
        <w:jc w:val="start"/>
        <w:bidi/>
      </w:pPr>
      <w:r>
        <w:rPr>
          <w:rFonts w:ascii="arial" w:hAnsi="arial" w:eastAsia="arial" w:cs="arial"/>
          <w:sz w:val="28"/>
          <w:szCs w:val="28"/>
          <w:b w:val="1"/>
          <w:bCs w:val="1"/>
          <w:rtl/>
        </w:rPr>
        <w:t xml:space="preserve">معبد بن حميد
</w:t>
      </w:r>
    </w:p>
    <w:p>
      <w:pPr/>
      <w:r>
        <w:rPr/>
        <w:t xml:space="preserve">معبد بن حميد بن زهير بن الحارث بن أسد بن عبد العزى.</w:t>
      </w:r>
    </w:p>
    <w:p/>
    <w:p>
      <w:pPr/>
      <w:r>
        <w:rPr/>
        <w:t xml:space="preserve">ذكره الزبير بن بكار، وقال: قتل ولده عبد الله بن معبد يوم الجمل، وهو لناجية بنت حكيم بن حزام.</w:t>
      </w:r>
    </w:p>
    <w:p/>
    <w:p>
      <w:pPr/>
      <w:r>
        <w:rPr/>
        <w:t xml:space="preserve">قلت: وحميد والد معبد مات قبل الإسلام، ومقتضى ذلك أن يكون لمعبد صحبة على ما تقرر أن من عرف من أهل مكة والطائف أنه كان في العهد النبوي إلى خلافة أبي بكر فما بعدها، فإنه يعد في الصحابة، لأنهم شهدوا حجة الوداع مع النبي صلى الله عليه وسلم.</w:t>
      </w:r>
    </w:p>
    <w:p>
      <w:pPr>
        <w:jc w:val="start"/>
        <w:bidi/>
      </w:pPr>
      <w:r>
        <w:rPr>
          <w:sz w:val="24"/>
          <w:szCs w:val="24"/>
          <w:b w:val="1"/>
          <w:bCs w:val="1"/>
          <w:rtl/>
        </w:rPr>
        <w:t xml:space="preserve">
الإصابة في تمييز الصحابة،(دار الكتب العلمية - بيروت،1995،ط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2026-07-28T11:55:19+03:00</dcterms:created>
  <dcterms:modified xsi:type="dcterms:W3CDTF">2026-07-28T11:55:19+03:00</dcterms:modified>
</cp:coreProperties>
</file>

<file path=docProps/custom.xml><?xml version="1.0" encoding="utf-8"?>
<Properties xmlns="http://schemas.openxmlformats.org/officeDocument/2006/custom-properties" xmlns:vt="http://schemas.openxmlformats.org/officeDocument/2006/docPropsVTypes"/>
</file>