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كعب
</w:t>
      </w:r>
    </w:p>
    <w:p>
      <w:pPr/>
      <w:r>
        <w:rPr/>
        <w:t xml:space="preserve">عمرو بن كعب بن عمرو الغفاري.</w:t>
      </w:r>
    </w:p>
    <w:p/>
    <w:p>
      <w:pPr/>
      <w:r>
        <w:rPr/>
        <w:t xml:space="preserve">استدركه ابن فتحون، وعزاه للواقدي والطبري، وذكر له قصة تشبه القصة التي تأتي في ترجمة كعب بن عمير.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كعب بن عمرو الغفاري
</w:t>
      </w:r>
    </w:p>
    <w:p>
      <w:pPr/>
      <w:r>
        <w:rPr/>
        <w:t xml:space="preserve">عمرو بن كعب بن عمرو الغفاري نبهت عليه في القسم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2026-07-29T05:14:16+03:00</dcterms:created>
  <dcterms:modified xsi:type="dcterms:W3CDTF">2026-07-29T05:14:16+03:00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