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القرداغي
</w:t>
      </w:r>
    </w:p>
    <w:p>
      <w:pPr>
        <w:jc w:val="start"/>
        <w:bidi/>
      </w:pPr>
      <w:r>
        <w:rPr>
          <w:rFonts w:ascii="arial" w:hAnsi="arial" w:eastAsia="arial" w:cs="arial"/>
          <w:sz w:val="28"/>
          <w:szCs w:val="28"/>
          <w:b w:val="1"/>
          <w:bCs w:val="1"/>
          <w:rtl/>
        </w:rPr>
        <w:t xml:space="preserve">القرداغي
</w:t>
      </w:r>
    </w:p>
    <w:p>
      <w:pPr/>
      <w:r>
        <w:rPr/>
        <w:t xml:space="preserve">القرداغي  صادق بن محمد بن محمد علي التبريزي القرداغي النجفي: عالم بالأصول، ثائر. ولد ونشأ في تبريز. وانتقل إلى النجف (1291) ثم كان مرجعا في أذربايجان. وأبعدته حكومة البهلوي إلى الري، فانطلق يخطب على المنابر في مساوئ البهلوي. واعتقلته الشرطة في تبريز، فحبس في همذان ثم في الري إلى أن توفي بمدينة قم. له كتب، منها (المقالات الغروية - ط) في الأصول. </w:t>
      </w:r>
    </w:p>
    <w:p>
      <w:pPr>
        <w:jc w:val="start"/>
        <w:bidi/>
      </w:pPr>
      <w:r>
        <w:rPr>
          <w:sz w:val="24"/>
          <w:szCs w:val="24"/>
          <w:b w:val="1"/>
          <w:bCs w:val="1"/>
          <w:rtl/>
        </w:rPr>
        <w:t xml:space="preserve">
الأعلام،(دار العلم للملايين - بيروت،2002،ط 15،ج 3،ص 186)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2026-09-26T05:22:10+03:00</dcterms:created>
  <dcterms:modified xsi:type="dcterms:W3CDTF">2026-09-26T05:22:10+03:00</dcterms:modified>
</cp:coreProperties>
</file>

<file path=docProps/custom.xml><?xml version="1.0" encoding="utf-8"?>
<Properties xmlns="http://schemas.openxmlformats.org/officeDocument/2006/custom-properties" xmlns:vt="http://schemas.openxmlformats.org/officeDocument/2006/docPropsVTypes"/>
</file>