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شيبان اليشكري
</w:t>
      </w:r>
    </w:p>
    <w:p>
      <w:pPr>
        <w:jc w:val="start"/>
        <w:bidi/>
      </w:pPr>
      <w:r>
        <w:rPr>
          <w:rFonts w:ascii="arial" w:hAnsi="arial" w:eastAsia="arial" w:cs="arial"/>
          <w:sz w:val="28"/>
          <w:szCs w:val="28"/>
          <w:b w:val="1"/>
          <w:bCs w:val="1"/>
          <w:rtl/>
        </w:rPr>
        <w:t xml:space="preserve">شيبان اليشكري
</w:t>
      </w:r>
    </w:p>
    <w:p>
      <w:pPr/>
      <w:r>
        <w:rPr/>
        <w:t xml:space="preserve">شيبان اليشكري  شيبان بن عبد العزيز اليشكري الحروري: من امراء ’’الحرورية’’ وقادتهم وشجعانهم. ولوه امارتهم سنة 128هـ ، واقام يقاتل مروان بن محمد، في جهات كفرتوثا (من اعمال ماردين) ومعه اربعون الفا. ثم انصرف إلى الموصل، وانضم اليه اهلها. وتبعه مروان، فتراجع الحرورية إلى البصرة بعد معارك. ثم قتل شيبان في عمان. </w:t>
      </w:r>
    </w:p>
    <w:p>
      <w:pPr>
        <w:jc w:val="start"/>
        <w:bidi/>
      </w:pPr>
      <w:r>
        <w:rPr>
          <w:sz w:val="24"/>
          <w:szCs w:val="24"/>
          <w:b w:val="1"/>
          <w:bCs w:val="1"/>
          <w:rtl/>
        </w:rPr>
        <w:t xml:space="preserve">
الأعلام،(دار العلم للملايين - بيروت،2002،ط 15،ج 3،ص 180)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2026-09-26T04:23:18+03:00</dcterms:created>
  <dcterms:modified xsi:type="dcterms:W3CDTF">2026-09-26T04:23:18+03:00</dcterms:modified>
</cp:coreProperties>
</file>

<file path=docProps/custom.xml><?xml version="1.0" encoding="utf-8"?>
<Properties xmlns="http://schemas.openxmlformats.org/officeDocument/2006/custom-properties" xmlns:vt="http://schemas.openxmlformats.org/officeDocument/2006/docPropsVTypes"/>
</file>