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الجر
</w:t>
      </w:r>
    </w:p>
    <w:p>
      <w:pPr>
        <w:jc w:val="start"/>
        <w:bidi/>
      </w:pPr>
      <w:r>
        <w:rPr>
          <w:rFonts w:ascii="arial" w:hAnsi="arial" w:eastAsia="arial" w:cs="arial"/>
          <w:sz w:val="28"/>
          <w:szCs w:val="28"/>
          <w:b w:val="1"/>
          <w:bCs w:val="1"/>
          <w:rtl/>
        </w:rPr>
        <w:t xml:space="preserve">الجر
</w:t>
      </w:r>
    </w:p>
    <w:p>
      <w:pPr/>
      <w:r>
        <w:rPr/>
        <w:t xml:space="preserve">الجر  شكر الله الجر: شاعر لبناني، من قرية يحشوش. هاجر إلى البرازيل (1923) للتجارة مع أخيه ’’عقل’’ وانقطع إلى الصحافة (1930) فأصدر مجلة (الأندلس الجديدة) شهرية، وجريدة (الحرية) أسبوعية، إلى سنة 1942 وعمل في تأسيس ’’العصبة الأندلسي’’ في سان باولو فعاشت 20 سنة. وصدر من مؤلفاته الشعرية (الروافد) و (زنابق الفجر) و (أغاني الليل) و (قرطاجة) و (بروق ورعود) و (من خوابي الزمن) وطبع من كتبه النثرية (نبي أورفليس جبران خليل جبران) و (المنقار الأحمر) في النقد، ورواية (الشبح الأبيض) ونشر في مجلة الأديب (تراجم) لبعض المهجريين، وعاد إلى لبنان (1964) وتوفي في جبيل. وما زالت له كتب لم تطبع. </w:t>
      </w:r>
    </w:p>
    <w:p>
      <w:pPr>
        <w:jc w:val="start"/>
        <w:bidi/>
      </w:pPr>
      <w:r>
        <w:rPr>
          <w:sz w:val="24"/>
          <w:szCs w:val="24"/>
          <w:b w:val="1"/>
          <w:bCs w:val="1"/>
          <w:rtl/>
        </w:rPr>
        <w:t xml:space="preserve">
الأعلام،(دار العلم للملايين - بيروت،2002،ط 15،ج 3،ص 171)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2026-09-26T03:12:59+03:00</dcterms:created>
  <dcterms:modified xsi:type="dcterms:W3CDTF">2026-09-26T03:12:59+03:00</dcterms:modified>
</cp:coreProperties>
</file>

<file path=docProps/custom.xml><?xml version="1.0" encoding="utf-8"?>
<Properties xmlns="http://schemas.openxmlformats.org/officeDocument/2006/custom-properties" xmlns:vt="http://schemas.openxmlformats.org/officeDocument/2006/docPropsVTypes"/>
</file>