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شرحبيل بن عمرو
</w:t>
      </w:r>
    </w:p>
    <w:p>
      <w:pPr>
        <w:jc w:val="start"/>
        <w:bidi/>
      </w:pPr>
      <w:r>
        <w:rPr>
          <w:rFonts w:ascii="arial" w:hAnsi="arial" w:eastAsia="arial" w:cs="arial"/>
          <w:sz w:val="28"/>
          <w:szCs w:val="28"/>
          <w:b w:val="1"/>
          <w:bCs w:val="1"/>
          <w:rtl/>
        </w:rPr>
        <w:t xml:space="preserve">شرحبيل بن عمرو
</w:t>
      </w:r>
    </w:p>
    <w:p>
      <w:pPr/>
      <w:r>
        <w:rPr/>
        <w:t xml:space="preserve">شرحبيل بن عمرو  شرحبيل بن عمرو بن غالب من حمير ملك يماني كان من كبار قومه في عهد ذي الاذعار (عمرو بن ابرهة) وثار على ذي الاذعار فأجتمعت حوله جموع في مأرب فأنشأ دولة مستقلة وقاتله ذو الاذعار فمات شرحبيل بعد سنة واحدة. </w:t>
      </w:r>
    </w:p>
    <w:p>
      <w:pPr>
        <w:jc w:val="start"/>
        <w:bidi/>
      </w:pPr>
      <w:r>
        <w:rPr>
          <w:sz w:val="24"/>
          <w:szCs w:val="24"/>
          <w:b w:val="1"/>
          <w:bCs w:val="1"/>
          <w:rtl/>
        </w:rPr>
        <w:t xml:space="preserve">
الأعلام،(دار العلم للملايين - بيروت،2002،ط 15،ج 3،ص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2026-09-26T01:03:41+03:00</dcterms:created>
  <dcterms:modified xsi:type="dcterms:W3CDTF">2026-09-26T01:03:41+03:00</dcterms:modified>
</cp:coreProperties>
</file>

<file path=docProps/custom.xml><?xml version="1.0" encoding="utf-8"?>
<Properties xmlns="http://schemas.openxmlformats.org/officeDocument/2006/custom-properties" xmlns:vt="http://schemas.openxmlformats.org/officeDocument/2006/docPropsVTypes"/>
</file>