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منعة
</w:t>
      </w:r>
    </w:p>
    <w:p>
      <w:pPr>
        <w:jc w:val="start"/>
        <w:bidi/>
      </w:pPr>
      <w:r>
        <w:rPr>
          <w:rFonts w:ascii="arial" w:hAnsi="arial" w:eastAsia="arial" w:cs="arial"/>
          <w:sz w:val="28"/>
          <w:szCs w:val="28"/>
          <w:b w:val="1"/>
          <w:bCs w:val="1"/>
          <w:rtl/>
        </w:rPr>
        <w:t xml:space="preserve">ابن منعة
</w:t>
      </w:r>
    </w:p>
    <w:p>
      <w:pPr/>
      <w:r>
        <w:rPr/>
        <w:t xml:space="preserve">ابن منعة  شجاع بن منعة الموصلي: نقاش ما زالت صناعته في بعض المتاحف باقية إلى الآن. منها إبريق من النحاس الأصفر، مكفت بالفضة كتب فوق القسم السفلي من رقبته ’’نقش شجاع بن منعة الموصلي في شهر الله المبارك رجب سنة تسع وعشرين وستماية بالموصل’’ محفوظ في المتحف البريطاني بلندن.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2026-07-27T20:33:44+03:00</dcterms:created>
  <dcterms:modified xsi:type="dcterms:W3CDTF">2026-07-27T20:33:44+03:00</dcterms:modified>
</cp:coreProperties>
</file>

<file path=docProps/custom.xml><?xml version="1.0" encoding="utf-8"?>
<Properties xmlns="http://schemas.openxmlformats.org/officeDocument/2006/custom-properties" xmlns:vt="http://schemas.openxmlformats.org/officeDocument/2006/docPropsVTypes"/>
</file>