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شافع بن عمر
</w:t>
      </w:r>
    </w:p>
    <w:p>
      <w:pPr>
        <w:jc w:val="start"/>
        <w:bidi/>
      </w:pPr>
      <w:r>
        <w:rPr>
          <w:rFonts w:ascii="arial" w:hAnsi="arial" w:eastAsia="arial" w:cs="arial"/>
          <w:sz w:val="28"/>
          <w:szCs w:val="28"/>
          <w:b w:val="1"/>
          <w:bCs w:val="1"/>
          <w:rtl/>
        </w:rPr>
        <w:t xml:space="preserve">شافع بن عمر
</w:t>
      </w:r>
    </w:p>
    <w:p>
      <w:pPr/>
      <w:r>
        <w:rPr/>
        <w:t xml:space="preserve">شافع بن عمر شافع بن عمر بن اسماعيل الجيلي الحنبلي، ركن الدين: فقيه. كان عارفا بالطب. سمع الحديث ببغداد، ودرس بدمشق، وصنف (زبدة الأخبار في مناقب الأئمة الأربعة الأبرار) أصحاب المذاهب. وتوفي ببغداد. </w:t>
      </w:r>
    </w:p>
    <w:p>
      <w:pPr>
        <w:jc w:val="start"/>
        <w:bidi/>
      </w:pPr>
      <w:r>
        <w:rPr>
          <w:sz w:val="24"/>
          <w:szCs w:val="24"/>
          <w:b w:val="1"/>
          <w:bCs w:val="1"/>
          <w:rtl/>
        </w:rPr>
        <w:t xml:space="preserve">
الأعلام،(دار العلم للملايين - بيروت،2002،ط 15،ج 3،ص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شافع بن عمر بن إسماعيل الجيلي الحنبلي
</w:t>
      </w:r>
    </w:p>
    <w:p>
      <w:pPr/>
      <w:r>
        <w:rPr/>
        <w:t xml:space="preserve">شافع بن عمر بن إسماعيل الجيلي الحنبلي  شافع بن عمر بن إسماعيل الجيلي الحنبلي تفقه على القاضي تقي الدين الزريراتي وغيره وسمع من ابن الطبال والد واليبى وغيرهما واعاد بالمستنصرية ودرس بالمجاهدية وكان ماهرا في الطب والفقه والأصول مات في شوال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2026-07-29T11:01:53+03:00</dcterms:created>
  <dcterms:modified xsi:type="dcterms:W3CDTF">2026-07-29T11:01:53+03:00</dcterms:modified>
</cp:coreProperties>
</file>

<file path=docProps/custom.xml><?xml version="1.0" encoding="utf-8"?>
<Properties xmlns="http://schemas.openxmlformats.org/officeDocument/2006/custom-properties" xmlns:vt="http://schemas.openxmlformats.org/officeDocument/2006/docPropsVTypes"/>
</file>