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سورة بن الحر
</w:t>
      </w:r>
    </w:p>
    <w:p>
      <w:pPr>
        <w:jc w:val="start"/>
        <w:bidi/>
      </w:pPr>
      <w:r>
        <w:rPr>
          <w:rFonts w:ascii="arial" w:hAnsi="arial" w:eastAsia="arial" w:cs="arial"/>
          <w:sz w:val="28"/>
          <w:szCs w:val="28"/>
          <w:b w:val="1"/>
          <w:bCs w:val="1"/>
          <w:rtl/>
        </w:rPr>
        <w:t xml:space="preserve">سورة بن الحر
</w:t>
      </w:r>
    </w:p>
    <w:p>
      <w:pPr/>
      <w:r>
        <w:rPr/>
        <w:t xml:space="preserve">سورة بن الحر  سورة بن الحر التميمي: أمير سمرقند، وأحد رؤساء تميم. انتدبه الجنيد لنجدته وهو يقاتل الترك، فجاءه من سمرقند باثنى عشر ألفا، فاعترضه الترك، فقاتلهم حتى كشفهم، وكانوا قد أوقدوا نارا خلفهم، فلما أغار سورة وأصحابه سقطوا في اللهيب، فقتل مع أكثرهم. </w:t>
      </w:r>
    </w:p>
    <w:p>
      <w:pPr>
        <w:jc w:val="start"/>
        <w:bidi/>
      </w:pPr>
      <w:r>
        <w:rPr>
          <w:sz w:val="24"/>
          <w:szCs w:val="24"/>
          <w:b w:val="1"/>
          <w:bCs w:val="1"/>
          <w:rtl/>
        </w:rPr>
        <w:t xml:space="preserve">
الأعلام،(دار العلم للملايين - بيروت،2002،ط 15،ج 3،ص 145)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2026-09-25T22:27:32+03:00</dcterms:created>
  <dcterms:modified xsi:type="dcterms:W3CDTF">2026-09-25T22:27:32+03:00</dcterms:modified>
</cp:coreProperties>
</file>

<file path=docProps/custom.xml><?xml version="1.0" encoding="utf-8"?>
<Properties xmlns="http://schemas.openxmlformats.org/officeDocument/2006/custom-properties" xmlns:vt="http://schemas.openxmlformats.org/officeDocument/2006/docPropsVTypes"/>
</file>