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سحيم
</w:t>
      </w:r>
    </w:p>
    <w:p>
      <w:pPr>
        <w:jc w:val="start"/>
        <w:bidi/>
      </w:pPr>
      <w:r>
        <w:rPr>
          <w:rFonts w:ascii="arial" w:hAnsi="arial" w:eastAsia="arial" w:cs="arial"/>
          <w:sz w:val="28"/>
          <w:szCs w:val="28"/>
          <w:b w:val="1"/>
          <w:bCs w:val="1"/>
          <w:rtl/>
        </w:rPr>
        <w:t xml:space="preserve">سحيم
</w:t>
      </w:r>
    </w:p>
    <w:p>
      <w:pPr/>
      <w:r>
        <w:rPr/>
        <w:t xml:space="preserve">سحيم بالتصغير، ابن خفاف. ذكره أحمد بن محمد بن عيسى فيمن نزل حمص من الصحابة.</w:t>
      </w:r>
    </w:p>
    <w:p/>
    <w:p>
      <w:pPr/>
      <w:r>
        <w:rPr/>
        <w:t xml:space="preserve">روى الطبراني في مسند الشاميين من طريق محفوظ بن علقمة، عن عبد الرحمن بن عائذ، قال: قال سحيم بن خفاف: قام فينا رسول الله صلى الله عليه وسلم فقرب الساعة والدجال حتى قمت إلى غنمي وهي خمسمائة شاة مرقد، كل شاة مرقد ناقة فبعتها شيئا فشيئا مما ظننت أن الساعة حاضرة.</w:t>
      </w:r>
    </w:p>
    <w:p>
      <w:pPr>
        <w:jc w:val="start"/>
        <w:bidi/>
      </w:pPr>
      <w:r>
        <w:rPr>
          <w:sz w:val="24"/>
          <w:szCs w:val="24"/>
          <w:b w:val="1"/>
          <w:bCs w:val="1"/>
          <w:rtl/>
        </w:rPr>
        <w:t xml:space="preserve">
الإصابة في تمييز الصحابة،(دار الكتب العلمية - بيروت،1995،ط 1،ج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2026-07-27T21:48:35+03:00</dcterms:created>
  <dcterms:modified xsi:type="dcterms:W3CDTF">2026-07-27T21:48:35+03:00</dcterms:modified>
</cp:coreProperties>
</file>

<file path=docProps/custom.xml><?xml version="1.0" encoding="utf-8"?>
<Properties xmlns="http://schemas.openxmlformats.org/officeDocument/2006/custom-properties" xmlns:vt="http://schemas.openxmlformats.org/officeDocument/2006/docPropsVTypes"/>
</file>