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أيوب المورياني
</w:t>
      </w:r>
    </w:p>
    <w:p>
      <w:pPr>
        <w:jc w:val="start"/>
        <w:bidi/>
      </w:pPr>
      <w:r>
        <w:rPr>
          <w:rFonts w:ascii="arial" w:hAnsi="arial" w:eastAsia="arial" w:cs="arial"/>
          <w:sz w:val="28"/>
          <w:szCs w:val="28"/>
          <w:b w:val="1"/>
          <w:bCs w:val="1"/>
          <w:rtl/>
        </w:rPr>
        <w:t xml:space="preserve">أبو أيوب المورياني
</w:t>
      </w:r>
    </w:p>
    <w:p>
      <w:pPr/>
      <w:r>
        <w:rPr/>
        <w:t xml:space="preserve">أبو أيوب المورياني  سليمان بن مخلد المورياني الخوزي، أبو ايزب: من وزراء الدولة العباسية في العراق. ولى وزارة المنصور بعد خالد بن برمك (جد البرامكة) واحسن القيام بالاعمال. ثم فسدت عليه نية المنصور. فأوقع به وعذبه واخذ امواله. وكان لبيبا فصيحا، اصله من موريان احدى قرى الاحواز. </w:t>
      </w:r>
    </w:p>
    <w:p>
      <w:pPr>
        <w:jc w:val="start"/>
        <w:bidi/>
      </w:pPr>
      <w:r>
        <w:rPr>
          <w:sz w:val="24"/>
          <w:szCs w:val="24"/>
          <w:b w:val="1"/>
          <w:bCs w:val="1"/>
          <w:rtl/>
        </w:rPr>
        <w:t xml:space="preserve">
الأعلام،(دار العلم للملايين - بيروت،2002،ط 15،ج 3،ص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أيوب المورياني
</w:t>
      </w:r>
    </w:p>
    <w:p>
      <w:pPr/>
      <w:r>
        <w:rPr/>
        <w:t xml:space="preserve">أبو أيوب المورياني وزير المنصور، سليمان بن أبي سليمان الخوزي، تمكن من المنصور تمكنا لا مزيد عليه، وكان أولا كاتبا للأمير سليمان بن حبيب بن المهلب بن أبي صفرة، وكان المنصور ينوب عن هذا الأمير في بعض كور فارس -فيما نقله ابن خلكان-. فصادره، وضربه، فلما صارت الخلافة إلى المنصور، قتله.</w:t>
      </w:r>
    </w:p>
    <w:p/>
    <w:p>
      <w:pPr/>
      <w:r>
        <w:rPr/>
        <w:t xml:space="preserve">وكان المورياني قد دافع عند سليمان كثيرا عن المنصور، فاستوزره، ثم غضب عليه، ونسبه إلى أخذ الأموال، وأضمر له، فكان كلما هم به دخل أبو أيوب وقد دهن حاجبيه بدهن مسحور فسار في ألسنة العامة: دهن أبي أيوب. ثم إنه استأصله وعذبه، وأخذ منه أموالا عظيمة.</w:t>
      </w:r>
    </w:p>
    <w:p/>
    <w:p>
      <w:pPr/>
      <w:r>
        <w:rPr/>
        <w:t xml:space="preserve">وكذلك الدنيا الدنية قريبة الرزية.</w:t>
      </w:r>
    </w:p>
    <w:p/>
    <w:p>
      <w:pPr/>
      <w:r>
        <w:rPr/>
        <w:t xml:space="preserve">مات في سنة أربع وخمسين ومائة، وكان من دهاة العالم، وله مشاركة قوية في الأدب والفلسفة، والحساب، والكيمياء، والسحر، والنجوم ولكنه ليس بفقيه. وكان سمحا جوادا متمولا.</w:t>
      </w:r>
    </w:p>
    <w:p>
      <w:pPr>
        <w:jc w:val="start"/>
        <w:bidi/>
      </w:pPr>
      <w:r>
        <w:rPr>
          <w:sz w:val="24"/>
          <w:szCs w:val="24"/>
          <w:b w:val="1"/>
          <w:bCs w:val="1"/>
          <w:rtl/>
        </w:rPr>
        <w:t xml:space="preserve">
سير أعلام النبلاء،(دار الحديث- القاهرة،2006،ط 1،ج 6،ص 484)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2026-09-25T20:36:38+03:00</dcterms:created>
  <dcterms:modified xsi:type="dcterms:W3CDTF">2026-09-25T20:36:38+03:00</dcterms:modified>
</cp:coreProperties>
</file>

<file path=docProps/custom.xml><?xml version="1.0" encoding="utf-8"?>
<Properties xmlns="http://schemas.openxmlformats.org/officeDocument/2006/custom-properties" xmlns:vt="http://schemas.openxmlformats.org/officeDocument/2006/docPropsVTypes"/>
</file>