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رئاب بن عمرو
</w:t>
      </w:r>
    </w:p>
    <w:p>
      <w:pPr>
        <w:jc w:val="start"/>
        <w:bidi/>
      </w:pPr>
      <w:r>
        <w:rPr>
          <w:rFonts w:ascii="arial" w:hAnsi="arial" w:eastAsia="arial" w:cs="arial"/>
          <w:sz w:val="28"/>
          <w:szCs w:val="28"/>
          <w:b w:val="1"/>
          <w:bCs w:val="1"/>
          <w:rtl/>
        </w:rPr>
        <w:t xml:space="preserve">رئاب بن عمرو
</w:t>
      </w:r>
    </w:p>
    <w:p>
      <w:pPr/>
      <w:r>
        <w:rPr/>
        <w:t xml:space="preserve">رئاب بن عمرو بن عوف بن كعب الليثي.</w:t>
      </w:r>
    </w:p>
    <w:p/>
    <w:p>
      <w:pPr/>
      <w:r>
        <w:rPr/>
        <w:t xml:space="preserve">ذكره ابن السكن، وقال: حديثه عند بعض ولده، حدث به نصر بن قديد الليثي، عن مسلم بن حجاج بن مسلم عن أبيه عن جده، عن رئاب أنه شهد مع النبي صلى الله عليه وآله وسلم بيعة الرضوان.</w:t>
      </w:r>
    </w:p>
    <w:p>
      <w:pPr>
        <w:jc w:val="start"/>
        <w:bidi/>
      </w:pPr>
      <w:r>
        <w:rPr>
          <w:sz w:val="24"/>
          <w:szCs w:val="24"/>
          <w:b w:val="1"/>
          <w:bCs w:val="1"/>
          <w:rtl/>
        </w:rPr>
        <w:t xml:space="preserve">
الإصابة في تمييز الصحابة،(دار الكتب العلمية - بيروت،1995،ط 1،ج 2،ص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2026-07-28T20:25:49+03:00</dcterms:created>
  <dcterms:modified xsi:type="dcterms:W3CDTF">2026-07-28T20:25:49+03:00</dcterms:modified>
</cp:coreProperties>
</file>

<file path=docProps/custom.xml><?xml version="1.0" encoding="utf-8"?>
<Properties xmlns="http://schemas.openxmlformats.org/officeDocument/2006/custom-properties" xmlns:vt="http://schemas.openxmlformats.org/officeDocument/2006/docPropsVTypes"/>
</file>