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خفاف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خفاف
</w:t>
      </w:r>
    </w:p>
    <w:p>
      <w:pPr/>
      <w:r>
        <w:rPr/>
        <w:t xml:space="preserve">خفاف بن مالك بن عبد يغوث بن علي بن ربيعة المازني- مازن بني تيم.</w:t>
      </w:r>
    </w:p>
    <w:p/>
    <w:p>
      <w:pPr/>
      <w:r>
        <w:rPr/>
        <w:t xml:space="preserve">قال الآمدي: شاعر فارس أدرك الجاهلية والإسلام وهو القائل:</w:t>
      </w:r>
    </w:p>
    <w:p/>
    <w:p>
      <w:pPr>
        <w:jc w:val="center"/>
      </w:pPr>
      <w:r>
        <w:rPr>
          <w:color w:val="ff0000"/>
        </w:rPr>
        <w:t xml:space="preserve">ولا عزنا يعدي على ظلم غيرنا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 وليس علينا للظلامة مذهب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2026-07-27T21:48:49+03:00</dcterms:created>
  <dcterms:modified xsi:type="dcterms:W3CDTF">2026-07-27T21:48:49+03:00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