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مالك
</w:t>
      </w:r>
    </w:p>
    <w:p>
      <w:pPr/>
      <w:r>
        <w:rPr/>
        <w:t xml:space="preserve">سعد بن مالك  سعد بن مالك بن ضبيعة بن قيس بن ثعلبة البكري الوائلي: من سراة بني بكر وفرسانها المعدودين، في الجاهلية. قال البغدادي: له أشعار جياد في كتاب بني قيس بن ثعلبة. قتل في حرب البسوس. وهو صاحب القصيدة الحائية التي أولها:</w:t>
      </w:r>
    </w:p>
    <w:p/>
    <w:p>
      <w:pPr>
        <w:jc w:val="center"/>
      </w:pPr>
      <w:r>
        <w:rPr>
          <w:color w:val="ff0000"/>
        </w:rPr>
        <w:t xml:space="preserve">يا بؤس للحرب التي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وضعت أراهظ فاستراحوا</w:t>
      </w:r>
    </w:p>
    <w:p/>
    <w:p>
      <w:pPr/>
      <w:r>
        <w:rPr/>
        <w:t xml:space="preserve">وقال التبريزي: هو جد طرفة بن العبد.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2026-09-25T10:15:28+03:00</dcterms:created>
  <dcterms:modified xsi:type="dcterms:W3CDTF">2026-09-25T10:15:28+03:00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