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كعب
</w:t>
      </w:r>
    </w:p>
    <w:p>
      <w:pPr/>
      <w:r>
        <w:rPr/>
        <w:t xml:space="preserve">أنيسة بنت كعب (س) أنيسة بنت كعب، أم عمارة.</w:t>
      </w:r>
    </w:p>
    <w:p/>
    <w:p>
      <w:pPr/>
      <w:r>
        <w:rPr/>
        <w:t xml:space="preserve">قالت: ما لنا لا نذكر بخير؟ فأنزل الله عز وجل </w:t>
      </w:r>
    </w:p>
    <w:p>
      <w:pPr/>
      <w:r>
        <w:rPr>
          <w:color w:val="0000ff"/>
        </w:rPr>
        <w:t xml:space="preserve">{إن المسلمين والمسلمات}</w:t>
      </w:r>
    </w:p>
    <w:p>
      <w:pPr/>
      <w:r>
        <w:rPr/>
        <w:t xml:space="preserve">... الآية.</w:t>
      </w:r>
    </w:p>
    <w:p/>
    <w:p>
      <w:pPr/>
      <w:r>
        <w:rPr/>
        <w:t xml:space="preserve">هكذا ذكرها أبو الوفاء البغدادي في التفسير، عن مقاتل. وهو وهم، إنما هي نسيبة.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1482)/(دار الكتب العلمية - بيروت،1994،ط 1،ج 7،ص 32)/(دار الفكر - بيروت،1989،ط 1،ج 6،ص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كعب
</w:t>
      </w:r>
    </w:p>
    <w:p>
      <w:pPr/>
      <w:r>
        <w:rPr/>
        <w:t xml:space="preserve">أنيسة بنت كعب أم عمارة، قالت: ما لنا لا نذكر بخير؟ فأنزل الله تعالى: </w:t>
      </w:r>
    </w:p>
    <w:p>
      <w:pPr/>
      <w:r>
        <w:rPr>
          <w:color w:val="0000ff"/>
        </w:rPr>
        <w:t xml:space="preserve">{إن المسلمين والمسلمات}</w:t>
      </w:r>
    </w:p>
    <w:p>
      <w:pPr/>
      <w:r>
        <w:rPr/>
        <w:t xml:space="preserve">... الآية، هكذا أسماءها أبو الوفاء البغدادي في التفسير، عن مقاتل، وهو وهم، وإنما هي نسيبة، أولها نون وموحدة مصغرة، قاله أبو موسى: قلت: والحديث مشهور لأم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2026-09-22T21:01:18+03:00</dcterms:created>
  <dcterms:modified xsi:type="dcterms:W3CDTF">2026-09-22T21:01:18+03:00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