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أروى بنت أنيس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أروى بنت أنيس
</w:t>
      </w:r>
    </w:p>
    <w:p>
      <w:pPr/>
      <w:r>
        <w:rPr/>
        <w:t xml:space="preserve">أروى بنت أنيس (د ع) أروى بنت أنيس.</w:t>
      </w:r>
    </w:p>
    <w:p/>
    <w:p>
      <w:pPr/>
      <w:r>
        <w:rPr/>
        <w:t xml:space="preserve">روت عن النبي- صلى الله عليه وسلم- أنه قال: من مس فرجه فليتوضأ رواه هشام بن عروة، عن أبيه، عنها. وقيل: أبو أروى.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1472)/(دار الكتب العلمية - بيروت،1994،ط 1،ج 7،ص 7)/(دار الفكر - بيروت،1989،ط 1،ج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2026-09-21T10:05:43+03:00</dcterms:created>
  <dcterms:modified xsi:type="dcterms:W3CDTF">2026-09-21T10:05:43+03:00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