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مسيب بن رافع، عن رجل من الصحابة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مسيب بن رافع، عن رجل من الصحابة
</w:t>
      </w:r>
    </w:p>
    <w:p>
      <w:pPr/>
      <w:r>
        <w:rPr/>
        <w:t xml:space="preserve">مسيب بن رافع، عن رجل من الصحابة (ع) مسيب بن رافع، عن رجل من الصحابة.</w:t>
      </w:r>
    </w:p>
    <w:p/>
    <w:p>
      <w:pPr/>
      <w:r>
        <w:rPr/>
        <w:t xml:space="preserve">روى العلاء بن المسيب، عن أبيه قال: حدثني من سمع النبي صلى الله عليه وسلم يقول: «أعطوا كل سورة حقها من الركوع والسجود». أخرجه 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1467)/(دار الكتب العلمية - بيروت،1994،ط 1،ج 6،ص 433)/(دار الفكر - بيروت،1989،ط 1،ج 5،ص 444)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2026-09-22T13:12:13+03:00</dcterms:created>
  <dcterms:modified xsi:type="dcterms:W3CDTF">2026-09-22T13:12:13+03:00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