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حاجب، عن رجل من بني غفار
</w:t>
      </w:r>
    </w:p>
    <w:p>
      <w:pPr>
        <w:jc w:val="start"/>
        <w:bidi/>
      </w:pPr>
      <w:r>
        <w:rPr>
          <w:rFonts w:ascii="arial" w:hAnsi="arial" w:eastAsia="arial" w:cs="arial"/>
          <w:sz w:val="28"/>
          <w:szCs w:val="28"/>
          <w:b w:val="1"/>
          <w:bCs w:val="1"/>
          <w:rtl/>
        </w:rPr>
        <w:t xml:space="preserve">أبو حاجب، عن رجل من بني غفار
</w:t>
      </w:r>
    </w:p>
    <w:p>
      <w:pPr/>
      <w:r>
        <w:rPr/>
        <w:t xml:space="preserve">أبو حاجب، عن رجل من بني غفار (د ع) أبو حاجب، عن رجل من بني غفار، قيل: إنه الحكم بن عمرو.</w:t>
      </w:r>
    </w:p>
    <w:p/>
    <w:p>
      <w:pPr/>
      <w:r>
        <w:rPr/>
        <w:t xml:space="preserve">أخبرنا أبو إسحاق إبراهيم بن محمد الفقيه، وغيره بإسنادهم عن محمد بن عيسى: أخبرنا محمود بن غيلان، قال: حدثنا وكيع عن سفيان، عن سليمان التيمي، عن أبي حاجب، عن رجل من بني غفار: أن النبي صلى الله عليه وسلم نهى عن فضل طهور المرأة. </w:t>
      </w:r>
    </w:p>
    <w:p/>
    <w:p>
      <w:pPr/>
      <w:r>
        <w:rPr/>
        <w:t xml:space="preserve">ورواه عاصم الأحول، عن أبي حاجب، عن الحكم بن عمرو الغفاري.</w:t>
      </w:r>
    </w:p>
    <w:p/>
    <w:p>
      <w:pPr/>
      <w:r>
        <w:rPr/>
        <w:t xml:space="preserve">ورواه يوسف بن يعقوب، عن سليمان التيمي وقال: عن رجل من بني غفار.</w:t>
      </w:r>
    </w:p>
    <w:p/>
    <w:p>
      <w:pPr/>
      <w:r>
        <w:rPr/>
        <w:t xml:space="preserve">أخرجه ابن منده وأبو نعيم.</w:t>
      </w:r>
    </w:p>
    <w:p/>
    <w:p>
      <w:pPr/>
      <w:r>
        <w:rPr/>
        <w:t xml:space="preserve">قلت: هو الحكم بن عمرو الغفاري: أخبرنا أبو أحمد بإسناده عن أبي داود، حدثنا ابن بشار، حدثنا الطيالسي، حدثنا شعبة، عن عاصم، عن أبي حاجب، عن الحكم بن عمرو، أن النبي صلى الله عليه وسلم نهى أن يتوضأ الرجل بفضل طهور المرأة. </w:t>
      </w:r>
    </w:p>
    <w:p>
      <w:pPr>
        <w:jc w:val="start"/>
        <w:bidi/>
      </w:pPr>
      <w:r>
        <w:rPr>
          <w:sz w:val="24"/>
          <w:szCs w:val="24"/>
          <w:b w:val="1"/>
          <w:bCs w:val="1"/>
          <w:rtl/>
        </w:rPr>
        <w:t xml:space="preserve">
أسد الغابة في معرفة الصحابة،(دار ابن حزم - بيروت،2012،ط 1،ج 1،ص 1447)/(دار الكتب العلمية - بيروت،1994،ط 1،ج 6،ص 389)/(دار الفكر - بيروت،1989،ط 1،ج 5،ص 399)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2026-09-23T05:05:58+03:00</dcterms:created>
  <dcterms:modified xsi:type="dcterms:W3CDTF">2026-09-23T05:05:58+03:00</dcterms:modified>
</cp:coreProperties>
</file>

<file path=docProps/custom.xml><?xml version="1.0" encoding="utf-8"?>
<Properties xmlns="http://schemas.openxmlformats.org/officeDocument/2006/custom-properties" xmlns:vt="http://schemas.openxmlformats.org/officeDocument/2006/docPropsVTypes"/>
</file>