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يحيى بن خلاد
</w:t>
      </w:r>
    </w:p>
    <w:p>
      <w:pPr>
        <w:jc w:val="start"/>
        <w:bidi/>
      </w:pPr>
      <w:r>
        <w:rPr>
          <w:rFonts w:ascii="arial" w:hAnsi="arial" w:eastAsia="arial" w:cs="arial"/>
          <w:sz w:val="28"/>
          <w:szCs w:val="28"/>
          <w:b w:val="1"/>
          <w:bCs w:val="1"/>
          <w:rtl/>
        </w:rPr>
        <w:t xml:space="preserve">عم يحيى بن خلاد
</w:t>
      </w:r>
    </w:p>
    <w:p>
      <w:pPr/>
      <w:r>
        <w:rPr/>
        <w:t xml:space="preserve">عم يحيى بن خلاد (س) عم يحيى بن خلاد.</w:t>
      </w:r>
    </w:p>
    <w:p/>
    <w:p>
      <w:pPr/>
      <w:r>
        <w:rPr/>
        <w:t xml:space="preserve">أخبرنا أبو القاسم يعيش بن صدقة بن علي الفقيه بإسناده عن أبي عبد الرحمن أحمد بن شعيب: حدثنا قتيبة، أخبرنا بكر بن مضر، عن ابن عجلان، عن علي بن يحيى الزرقي، عن أبيه، عن عمه - وكان بدريا- قال: كنا مع رسول الله- صلى الله عليه وسلم- إذ دخل رجل المسجد، فصلى ورسول الله- صلى الله عليه وسلم- يرمقه، وهو لا يشعر. ثم انصرف فأتى رسول الله- صلى الله عليه وسلم- فسلم عليه، فرد عليه، ثم قال: ارجع فصل فإنك لم تصل. - قال: لا أدري في الثانية، أو في الثالثة؟ - قال: والذي أنزل عليك الكتاب لقد جهدت فعلمني وأرني. قال: إذا أردت الصلاة فتوضأ فأحسن الوضوء، ثم قم فاستقبل القبلة، ثم كبر، ثم اقرأ، ثم اركع حتى تطمئن راكعا، ثم ارفع رأسك حتى تعتدل قائما، ثم اسجد حتى تطمئن ساجدا، ثم ارفع رأسك حتى تطمئن جالسا، ثم اسجد حتى تطمئن ساجدا، فإذا صنعت ذلك فقد قضيت صلاتك وما انتقصت من ذلك فإنما تنتقصه من صلاتك. </w:t>
      </w:r>
    </w:p>
    <w:p/>
    <w:p>
      <w:pPr/>
      <w:r>
        <w:rPr/>
        <w:t xml:space="preserve">هذا علي بن يحيى بن خلاد بن رافع الزرقي، وعمه هو رفاعة بن رافع، وقد تقدم. وقد رواه إسحاق بن عبد الله بن أبي طلحة، عن علي بن يحيى بن خلاد بن رافع بن مالك عن أبيه عن عمه، فبان بهذا أنه «رفاعة بن رافع». </w:t>
      </w:r>
    </w:p>
    <w:p/>
    <w:p>
      <w:pPr/>
      <w:r>
        <w:rPr/>
        <w:t xml:space="preserve">أخرجه أبو موسى.</w:t>
      </w:r>
    </w:p>
    <w:p/>
    <w:p>
      <w:pPr/>
      <w:r>
        <w:rPr/>
        <w:t xml:space="preserve">ذكر من نسب إلى قبيلته. وجعلت القبائل على حروف المعجم وإذا كانت الصحابة من قبيلة، جعلت الرواة عنهم على حروف المعجم.</w:t>
      </w:r>
    </w:p>
    <w:p>
      <w:pPr>
        <w:jc w:val="start"/>
        <w:bidi/>
      </w:pPr>
      <w:r>
        <w:rPr>
          <w:sz w:val="24"/>
          <w:szCs w:val="24"/>
          <w:b w:val="1"/>
          <w:bCs w:val="1"/>
          <w:rtl/>
        </w:rPr>
        <w:t xml:space="preserve">
أسد الغابة في معرفة الصحابة،(دار ابن حزم - بيروت،2012،ط 1،ج 1،ص 1436)/(دار الكتب العلمية - بيروت،1994،ط 1،ج 6،ص 367)/(دار الفكر - بيروت،1989،ط 1،ج 5،ص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2026-07-28T07:34:55+03:00</dcterms:created>
  <dcterms:modified xsi:type="dcterms:W3CDTF">2026-07-28T07:34:55+03:00</dcterms:modified>
</cp:coreProperties>
</file>

<file path=docProps/custom.xml><?xml version="1.0" encoding="utf-8"?>
<Properties xmlns="http://schemas.openxmlformats.org/officeDocument/2006/custom-properties" xmlns:vt="http://schemas.openxmlformats.org/officeDocument/2006/docPropsVTypes"/>
</file>