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رجل من أهل مكة، عن أبيه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رجل من أهل مكة، عن أبيه
</w:t>
      </w:r>
    </w:p>
    <w:p>
      <w:pPr/>
      <w:r>
        <w:rPr/>
        <w:t xml:space="preserve">رجل من أهل مكة، عن أبيه (د ع) رجل من أهل مكة، عن أبيه.</w:t>
      </w:r>
    </w:p>
    <w:p/>
    <w:p>
      <w:pPr/>
      <w:r>
        <w:rPr/>
        <w:t xml:space="preserve">روى حماد بن سلمة، عن أيوب، عن شيخ سمع منه بمنى يحدث عن أبيه، عن رسول الله- صلى الله عليه وسلم- أنه نهى عن قتل الوصفاء والعسفاء. </w:t>
      </w:r>
    </w:p>
    <w:p/>
    <w:p>
      <w:pPr/>
      <w:r>
        <w:rPr/>
        <w:t xml:space="preserve">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1427)/(دار الكتب العلمية - بيروت،1994،ط 1،ج 6،ص 348)/(دار الفكر - بيروت،1989،ط 1،ج 5،ص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2026-09-22T16:05:03+03:00</dcterms:created>
  <dcterms:modified xsi:type="dcterms:W3CDTF">2026-09-22T16:05:03+03:00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