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w:t>
      </w:r>
    </w:p>
    <w:p>
      <w:pPr>
        <w:jc w:val="start"/>
        <w:bidi/>
      </w:pPr>
      <w:r>
        <w:rPr>
          <w:rFonts w:ascii="arial" w:hAnsi="arial" w:eastAsia="arial" w:cs="arial"/>
          <w:sz w:val="28"/>
          <w:szCs w:val="28"/>
          <w:b w:val="1"/>
          <w:bCs w:val="1"/>
          <w:rtl/>
        </w:rPr>
        <w:t xml:space="preserve">أبو النضر
</w:t>
      </w:r>
    </w:p>
    <w:p>
      <w:pPr/>
      <w:r>
        <w:rPr/>
        <w:t xml:space="preserve">أبو النضر (د) أبو النضر السلمي. </w:t>
      </w:r>
    </w:p>
    <w:p/>
    <w:p>
      <w:pPr/>
      <w:r>
        <w:rPr/>
        <w:t xml:space="preserve">روى حديثه المعافى بن عمران، عن مالك بن أنس فقال في حديثه: أبو النضر. والصواب: ابن النضر. هكذا في الموطأ. </w:t>
      </w:r>
    </w:p>
    <w:p/>
    <w:p>
      <w:pPr/>
      <w:r>
        <w:rPr/>
        <w:t xml:space="preserve">أخرجه ابن منده مختصرا، وقد رواه ابن أبي عاصم، عن يعقوب بن حميد، عن عبد الله ابن نافع، عن مالك، عن عبد الله بن أبي بكر، عن أبي النضر، فيمن مات له ثلاثة من الولد، فوافق المعافى في «أبي النضر». والله أعلم.</w:t>
      </w:r>
    </w:p>
    <w:p>
      <w:pPr>
        <w:jc w:val="start"/>
        <w:bidi/>
      </w:pPr>
      <w:r>
        <w:rPr>
          <w:sz w:val="24"/>
          <w:szCs w:val="24"/>
          <w:b w:val="1"/>
          <w:bCs w:val="1"/>
          <w:rtl/>
        </w:rPr>
        <w:t xml:space="preserve">
أسد الغابة في معرفة الصحابة،(دار ابن حزم - بيروت،2012،ط 1،ج 1،ص 1409)/(دار الكتب العلمية - بيروت،1994،ط 1،ج 6،ص 308)/(دار الفكر - بيروت،1989،ط 1،ج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السلمي
</w:t>
      </w:r>
    </w:p>
    <w:p>
      <w:pPr/>
      <w:r>
        <w:rPr/>
        <w:t xml:space="preserve">أبو النضر السلمي روى حديثه المعافي بن عمران الظهري، عن مالك بن أنس، فقال في حديثه: عن أبي النضر، والصواب ابن النضر، هكذا في الموطأ.</w:t>
      </w:r>
    </w:p>
    <w:p/>
    <w:p>
      <w:pPr/>
      <w:r>
        <w:rPr/>
        <w:t xml:space="preserve">أورده ابن مندة هكذا، وتبعه أبو نعيم، وقال ابن الأثير: قد رواه ابن أبي عاصم، عن يعقوب بن حميد، عن عبد الله بن نافع، عن مالك، عن عبد الله بن أبي بكر، عن أبي النضر فيمن مات له ثلاثة من الولد- يعني، فلم يتفرد المعافي. انتهى.</w:t>
      </w:r>
    </w:p>
    <w:p/>
    <w:p>
      <w:pPr/>
      <w:r>
        <w:rPr/>
        <w:t xml:space="preserve">وأبو النضر هذا هو...</w:t>
      </w:r>
    </w:p>
    <w:p>
      <w:pPr>
        <w:jc w:val="start"/>
        <w:bidi/>
      </w:pPr>
      <w:r>
        <w:rPr>
          <w:sz w:val="24"/>
          <w:szCs w:val="24"/>
          <w:b w:val="1"/>
          <w:bCs w:val="1"/>
          <w:rtl/>
        </w:rPr>
        <w:t xml:space="preserve">
الإصابة في تمييز الصحابة،(دار الكتب العلمية - بيروت،1995،ط 1،ج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2026-09-22T09:12:50+03:00</dcterms:created>
  <dcterms:modified xsi:type="dcterms:W3CDTF">2026-09-22T09:12:50+03:00</dcterms:modified>
</cp:coreProperties>
</file>

<file path=docProps/custom.xml><?xml version="1.0" encoding="utf-8"?>
<Properties xmlns="http://schemas.openxmlformats.org/officeDocument/2006/custom-properties" xmlns:vt="http://schemas.openxmlformats.org/officeDocument/2006/docPropsVTypes"/>
</file>